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7435"/>
        <w:gridCol w:w="329"/>
        <w:gridCol w:w="1308"/>
      </w:tblGrid>
      <w:tr w:rsidR="00A23E01" w:rsidRPr="00A23E01" w:rsidTr="00A23E01">
        <w:trPr>
          <w:trHeight w:val="375"/>
          <w:jc w:val="center"/>
        </w:trPr>
        <w:tc>
          <w:tcPr>
            <w:tcW w:w="4890" w:type="dxa"/>
            <w:vMerge w:val="restart"/>
            <w:tcBorders>
              <w:top w:val="nil"/>
              <w:left w:val="nil"/>
              <w:bottom w:val="nil"/>
              <w:right w:val="nil"/>
            </w:tcBorders>
            <w:hideMark/>
          </w:tcPr>
          <w:p w:rsidR="00A23E01" w:rsidRPr="00A23E01" w:rsidRDefault="00A23E01" w:rsidP="00A23E01">
            <w:pPr>
              <w:spacing w:after="0" w:line="240" w:lineRule="auto"/>
              <w:jc w:val="center"/>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sz w:val="24"/>
                <w:szCs w:val="24"/>
                <w:lang w:val="de-DE" w:eastAsia="de-DE" w:bidi="ar-SA"/>
              </w:rPr>
              <w:drawing>
                <wp:inline distT="0" distB="0" distL="0" distR="0">
                  <wp:extent cx="2076450" cy="2667000"/>
                  <wp:effectExtent l="19050" t="0" r="0" b="0"/>
                  <wp:docPr id="1" name="Bild 1" descr="René Graetz im Jahr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é Graetz im Jahr 1957"/>
                          <pic:cNvPicPr>
                            <a:picLocks noChangeAspect="1" noChangeArrowheads="1"/>
                          </pic:cNvPicPr>
                        </pic:nvPicPr>
                        <pic:blipFill>
                          <a:blip r:embed="rId4" cstate="print"/>
                          <a:srcRect/>
                          <a:stretch>
                            <a:fillRect/>
                          </a:stretch>
                        </pic:blipFill>
                        <pic:spPr bwMode="auto">
                          <a:xfrm>
                            <a:off x="0" y="0"/>
                            <a:ext cx="2076450" cy="2667000"/>
                          </a:xfrm>
                          <a:prstGeom prst="rect">
                            <a:avLst/>
                          </a:prstGeom>
                          <a:noFill/>
                          <a:ln w="9525">
                            <a:noFill/>
                            <a:miter lim="800000"/>
                            <a:headEnd/>
                            <a:tailEnd/>
                          </a:ln>
                        </pic:spPr>
                      </pic:pic>
                    </a:graphicData>
                  </a:graphic>
                </wp:inline>
              </w:drawing>
            </w: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1908</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in Berlin geboren</w:t>
            </w:r>
          </w:p>
        </w:tc>
      </w:tr>
      <w:tr w:rsidR="00A23E01" w:rsidRPr="007E4386" w:rsidTr="00A23E01">
        <w:trPr>
          <w:trHeight w:val="375"/>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1923</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Lehre als Tiefdrucker in Genf</w:t>
            </w:r>
          </w:p>
        </w:tc>
      </w:tr>
      <w:tr w:rsidR="00A23E01" w:rsidRPr="007E4386" w:rsidTr="00A23E01">
        <w:trPr>
          <w:trHeight w:val="600"/>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1926 - 1928</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Besuch von Vorlesungen an</w:t>
            </w:r>
            <w:r w:rsidRPr="00A23E01">
              <w:rPr>
                <w:rFonts w:ascii="Arial" w:eastAsia="Times New Roman" w:hAnsi="Arial" w:cs="Arial"/>
                <w:color w:val="004B69"/>
                <w:sz w:val="20"/>
                <w:szCs w:val="20"/>
                <w:lang w:val="de-DE" w:eastAsia="de-DE" w:bidi="ar-SA"/>
              </w:rPr>
              <w:br/>
              <w:t>den Universitäten Genf und Zürich</w:t>
            </w:r>
          </w:p>
        </w:tc>
      </w:tr>
      <w:tr w:rsidR="00A23E01" w:rsidRPr="00A23E01" w:rsidTr="00A23E01">
        <w:trPr>
          <w:trHeight w:val="375"/>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1929 - 1938</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Südafrika</w:t>
            </w:r>
          </w:p>
        </w:tc>
      </w:tr>
      <w:tr w:rsidR="00A23E01" w:rsidRPr="00A23E01" w:rsidTr="00A23E01">
        <w:trPr>
          <w:trHeight w:val="375"/>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1938 - 1939</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Paris, London, Zürich</w:t>
            </w:r>
          </w:p>
        </w:tc>
      </w:tr>
      <w:tr w:rsidR="00A23E01" w:rsidRPr="007E4386" w:rsidTr="00A23E01">
        <w:trPr>
          <w:trHeight w:val="1125"/>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1940</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Internierung wegen deutscher</w:t>
            </w:r>
            <w:r w:rsidRPr="00A23E01">
              <w:rPr>
                <w:rFonts w:ascii="Arial" w:eastAsia="Times New Roman" w:hAnsi="Arial" w:cs="Arial"/>
                <w:color w:val="004B69"/>
                <w:sz w:val="20"/>
                <w:szCs w:val="20"/>
                <w:lang w:val="de-DE" w:eastAsia="de-DE" w:bidi="ar-SA"/>
              </w:rPr>
              <w:br/>
              <w:t>Staatsangehörigkeit auf der</w:t>
            </w:r>
            <w:r w:rsidRPr="00A23E01">
              <w:rPr>
                <w:rFonts w:ascii="Arial" w:eastAsia="Times New Roman" w:hAnsi="Arial" w:cs="Arial"/>
                <w:color w:val="004B69"/>
                <w:sz w:val="20"/>
                <w:szCs w:val="20"/>
                <w:lang w:val="de-DE" w:eastAsia="de-DE" w:bidi="ar-SA"/>
              </w:rPr>
              <w:br/>
              <w:t xml:space="preserve">Isle </w:t>
            </w:r>
            <w:proofErr w:type="spellStart"/>
            <w:r w:rsidRPr="00A23E01">
              <w:rPr>
                <w:rFonts w:ascii="Arial" w:eastAsia="Times New Roman" w:hAnsi="Arial" w:cs="Arial"/>
                <w:color w:val="004B69"/>
                <w:sz w:val="20"/>
                <w:szCs w:val="20"/>
                <w:lang w:val="de-DE" w:eastAsia="de-DE" w:bidi="ar-SA"/>
              </w:rPr>
              <w:t>of</w:t>
            </w:r>
            <w:proofErr w:type="spellEnd"/>
            <w:r w:rsidRPr="00A23E01">
              <w:rPr>
                <w:rFonts w:ascii="Arial" w:eastAsia="Times New Roman" w:hAnsi="Arial" w:cs="Arial"/>
                <w:color w:val="004B69"/>
                <w:sz w:val="20"/>
                <w:szCs w:val="20"/>
                <w:lang w:val="de-DE" w:eastAsia="de-DE" w:bidi="ar-SA"/>
              </w:rPr>
              <w:t xml:space="preserve"> Man, später Deportation</w:t>
            </w:r>
            <w:r w:rsidRPr="00A23E01">
              <w:rPr>
                <w:rFonts w:ascii="Arial" w:eastAsia="Times New Roman" w:hAnsi="Arial" w:cs="Arial"/>
                <w:color w:val="004B69"/>
                <w:sz w:val="20"/>
                <w:szCs w:val="20"/>
                <w:lang w:val="de-DE" w:eastAsia="de-DE" w:bidi="ar-SA"/>
              </w:rPr>
              <w:br/>
              <w:t>nach Kanada</w:t>
            </w:r>
          </w:p>
        </w:tc>
      </w:tr>
      <w:tr w:rsidR="00A23E01" w:rsidRPr="00A23E01" w:rsidTr="00A23E01">
        <w:trPr>
          <w:trHeight w:val="375"/>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1941</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Rückkehr nach London</w:t>
            </w:r>
          </w:p>
        </w:tc>
      </w:tr>
      <w:tr w:rsidR="00A23E01" w:rsidRPr="00A23E01" w:rsidTr="00A23E01">
        <w:trPr>
          <w:trHeight w:val="375"/>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1946</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Rückkehr nach Berlin</w:t>
            </w:r>
          </w:p>
        </w:tc>
      </w:tr>
      <w:tr w:rsidR="00A23E01" w:rsidRPr="00A23E01" w:rsidTr="00A23E01">
        <w:trPr>
          <w:trHeight w:val="375"/>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1974</w:t>
            </w:r>
          </w:p>
        </w:tc>
        <w:tc>
          <w:tcPr>
            <w:tcW w:w="3090" w:type="dxa"/>
            <w:tcBorders>
              <w:top w:val="nil"/>
              <w:left w:val="nil"/>
              <w:bottom w:val="nil"/>
              <w:right w:val="nil"/>
            </w:tcBorders>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r w:rsidRPr="00A23E01">
              <w:rPr>
                <w:rFonts w:ascii="Arial" w:eastAsia="Times New Roman" w:hAnsi="Arial" w:cs="Arial"/>
                <w:color w:val="004B69"/>
                <w:sz w:val="20"/>
                <w:szCs w:val="20"/>
                <w:lang w:val="de-DE" w:eastAsia="de-DE" w:bidi="ar-SA"/>
              </w:rPr>
              <w:t xml:space="preserve">in </w:t>
            </w:r>
            <w:proofErr w:type="spellStart"/>
            <w:r w:rsidRPr="00A23E01">
              <w:rPr>
                <w:rFonts w:ascii="Arial" w:eastAsia="Times New Roman" w:hAnsi="Arial" w:cs="Arial"/>
                <w:color w:val="004B69"/>
                <w:sz w:val="20"/>
                <w:szCs w:val="20"/>
                <w:lang w:val="de-DE" w:eastAsia="de-DE" w:bidi="ar-SA"/>
              </w:rPr>
              <w:t>Graal</w:t>
            </w:r>
            <w:proofErr w:type="spellEnd"/>
            <w:r w:rsidRPr="00A23E01">
              <w:rPr>
                <w:rFonts w:ascii="Arial" w:eastAsia="Times New Roman" w:hAnsi="Arial" w:cs="Arial"/>
                <w:color w:val="004B69"/>
                <w:sz w:val="20"/>
                <w:szCs w:val="20"/>
                <w:lang w:val="de-DE" w:eastAsia="de-DE" w:bidi="ar-SA"/>
              </w:rPr>
              <w:t>-Müritz gestorben</w:t>
            </w:r>
          </w:p>
        </w:tc>
      </w:tr>
      <w:tr w:rsidR="00A23E01" w:rsidRPr="00A23E01" w:rsidTr="00A23E01">
        <w:trPr>
          <w:trHeight w:val="270"/>
          <w:jc w:val="center"/>
        </w:trPr>
        <w:tc>
          <w:tcPr>
            <w:tcW w:w="0" w:type="auto"/>
            <w:vMerge/>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4530" w:type="dxa"/>
            <w:gridSpan w:val="2"/>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r>
      <w:tr w:rsidR="00A23E01" w:rsidRPr="007E4386" w:rsidTr="00A23E01">
        <w:trPr>
          <w:trHeight w:val="270"/>
          <w:jc w:val="center"/>
        </w:trPr>
        <w:tc>
          <w:tcPr>
            <w:tcW w:w="4890" w:type="dxa"/>
            <w:tcBorders>
              <w:top w:val="nil"/>
              <w:left w:val="nil"/>
              <w:bottom w:val="nil"/>
              <w:right w:val="nil"/>
            </w:tcBorders>
            <w:vAlign w:val="center"/>
            <w:hideMark/>
          </w:tcPr>
          <w:p w:rsidR="007E4386" w:rsidRPr="00A23E01" w:rsidRDefault="00A23E01" w:rsidP="00A23E01">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A23E01">
              <w:rPr>
                <w:rFonts w:ascii="Arial" w:eastAsia="Times New Roman" w:hAnsi="Arial" w:cs="Arial"/>
                <w:b/>
                <w:bCs/>
                <w:color w:val="004B69"/>
                <w:spacing w:val="20"/>
                <w:sz w:val="24"/>
                <w:szCs w:val="24"/>
                <w:lang w:val="de-DE" w:eastAsia="de-DE" w:bidi="ar-SA"/>
              </w:rPr>
              <w:t>René Graetz (1908 - 1974)</w:t>
            </w:r>
            <w:r w:rsidR="007E4386">
              <w:rPr>
                <w:rFonts w:ascii="Arial" w:eastAsia="Times New Roman" w:hAnsi="Arial" w:cs="Arial"/>
                <w:b/>
                <w:bCs/>
                <w:color w:val="004B69"/>
                <w:spacing w:val="20"/>
                <w:sz w:val="24"/>
                <w:szCs w:val="24"/>
                <w:lang w:val="de-DE" w:eastAsia="de-DE" w:bidi="ar-SA"/>
              </w:rPr>
              <w:br/>
            </w:r>
            <w:r w:rsidR="007E4386">
              <w:rPr>
                <w:rFonts w:ascii="Arial" w:eastAsia="Times New Roman" w:hAnsi="Arial" w:cs="Arial"/>
                <w:b/>
                <w:bCs/>
                <w:color w:val="004B69"/>
                <w:spacing w:val="20"/>
                <w:sz w:val="24"/>
                <w:szCs w:val="24"/>
                <w:lang w:val="de-DE" w:eastAsia="de-DE" w:bidi="ar-SA"/>
              </w:rPr>
              <w:br/>
            </w:r>
          </w:p>
          <w:tbl>
            <w:tblPr>
              <w:tblW w:w="10050" w:type="dxa"/>
              <w:tblCellMar>
                <w:left w:w="0" w:type="dxa"/>
                <w:right w:w="0" w:type="dxa"/>
              </w:tblCellMar>
              <w:tblLook w:val="04A0"/>
            </w:tblPr>
            <w:tblGrid>
              <w:gridCol w:w="7435"/>
            </w:tblGrid>
            <w:tr w:rsidR="007E4386" w:rsidRPr="007E4386" w:rsidTr="007E4386">
              <w:trPr>
                <w:trHeight w:val="2700"/>
              </w:trPr>
              <w:tc>
                <w:tcPr>
                  <w:tcW w:w="10050" w:type="dxa"/>
                  <w:tcBorders>
                    <w:top w:val="nil"/>
                    <w:left w:val="nil"/>
                    <w:bottom w:val="nil"/>
                    <w:right w:val="nil"/>
                  </w:tcBorders>
                  <w:vAlign w:val="center"/>
                  <w:hideMark/>
                </w:tcPr>
                <w:p w:rsidR="007E4386" w:rsidRPr="007E4386" w:rsidRDefault="007E4386" w:rsidP="007E4386">
                  <w:pPr>
                    <w:spacing w:before="75" w:after="75" w:line="312" w:lineRule="auto"/>
                    <w:rPr>
                      <w:rFonts w:ascii="Times New Roman" w:eastAsia="Times New Roman" w:hAnsi="Times New Roman" w:cs="Times New Roman"/>
                      <w:sz w:val="24"/>
                      <w:szCs w:val="24"/>
                      <w:lang w:val="de-DE" w:eastAsia="de-DE" w:bidi="ar-SA"/>
                    </w:rPr>
                  </w:pPr>
                  <w:r w:rsidRPr="007E4386">
                    <w:rPr>
                      <w:rFonts w:ascii="Arial" w:eastAsia="Times New Roman" w:hAnsi="Arial" w:cs="Arial"/>
                      <w:color w:val="004B69"/>
                      <w:sz w:val="20"/>
                      <w:szCs w:val="20"/>
                      <w:lang w:val="de-DE" w:eastAsia="de-DE" w:bidi="ar-SA"/>
                    </w:rPr>
                    <w:t>Eröffnet wird dieses Projekt mit prägnanten Plastiken und Zeichnungen des 1974 verstorbenen René Graetz und mit den verhalten expressiven, poetischen Arbeiten des in Berlin lebenden Menno Fahl (Jahrgang 1967). Beide gehören vollkommen unterschiedlichen Generationen an, können sich also gar nicht begegnet sein. Hinzu kommt, dass Menno Fahl bisher weder den Künstler René Graetz noch dessen Werk kannte. Und dennoch gibt es in ihrer Grundhaltung einige Bezugspunkte, die eine grundsätzliche Dissonanz verhindern. Bei beiden existiert das Grundvertrauen in die authentische Aussagekraft von bildnerischen Mitteln, sie zweifeln nicht an der sinnstiftenden Macht der Kunst. Ihre Formsprache changiert zwischen Figuration und den sich vielfach wandelnden Abstraktionsgraden.</w:t>
                  </w:r>
                </w:p>
              </w:tc>
            </w:tr>
            <w:tr w:rsidR="007E4386" w:rsidRPr="007E4386" w:rsidTr="007E4386">
              <w:trPr>
                <w:trHeight w:val="4560"/>
              </w:trPr>
              <w:tc>
                <w:tcPr>
                  <w:tcW w:w="10050" w:type="dxa"/>
                  <w:tcBorders>
                    <w:top w:val="nil"/>
                    <w:left w:val="nil"/>
                    <w:bottom w:val="nil"/>
                    <w:right w:val="nil"/>
                  </w:tcBorders>
                  <w:vAlign w:val="center"/>
                  <w:hideMark/>
                </w:tcPr>
                <w:tbl>
                  <w:tblPr>
                    <w:tblW w:w="10050" w:type="dxa"/>
                    <w:jc w:val="center"/>
                    <w:tblCellMar>
                      <w:left w:w="0" w:type="dxa"/>
                      <w:right w:w="0" w:type="dxa"/>
                    </w:tblCellMar>
                    <w:tblLook w:val="04A0"/>
                  </w:tblPr>
                  <w:tblGrid>
                    <w:gridCol w:w="2925"/>
                    <w:gridCol w:w="4710"/>
                    <w:gridCol w:w="2415"/>
                  </w:tblGrid>
                  <w:tr w:rsidR="007E4386" w:rsidRPr="007E4386">
                    <w:trPr>
                      <w:trHeight w:val="3450"/>
                      <w:jc w:val="center"/>
                    </w:trPr>
                    <w:tc>
                      <w:tcPr>
                        <w:tcW w:w="2925" w:type="dxa"/>
                        <w:tcBorders>
                          <w:top w:val="nil"/>
                          <w:left w:val="nil"/>
                          <w:bottom w:val="nil"/>
                          <w:right w:val="nil"/>
                        </w:tcBorders>
                        <w:hideMark/>
                      </w:tcPr>
                      <w:p w:rsidR="007E4386" w:rsidRPr="007E4386" w:rsidRDefault="007E4386" w:rsidP="007E4386">
                        <w:pPr>
                          <w:spacing w:after="0" w:line="240" w:lineRule="auto"/>
                          <w:rPr>
                            <w:rFonts w:ascii="Times New Roman" w:eastAsia="Times New Roman" w:hAnsi="Times New Roman" w:cs="Times New Roman"/>
                            <w:sz w:val="24"/>
                            <w:szCs w:val="24"/>
                            <w:lang w:val="de-DE" w:eastAsia="de-DE" w:bidi="ar-SA"/>
                          </w:rPr>
                        </w:pPr>
                      </w:p>
                    </w:tc>
                    <w:tc>
                      <w:tcPr>
                        <w:tcW w:w="4710" w:type="dxa"/>
                        <w:vMerge w:val="restart"/>
                        <w:tcBorders>
                          <w:top w:val="nil"/>
                          <w:left w:val="nil"/>
                          <w:bottom w:val="nil"/>
                          <w:right w:val="nil"/>
                        </w:tcBorders>
                        <w:hideMark/>
                      </w:tcPr>
                      <w:p w:rsidR="007E4386" w:rsidRPr="007E4386" w:rsidRDefault="007E4386" w:rsidP="007E4386">
                        <w:pPr>
                          <w:spacing w:before="100" w:beforeAutospacing="1" w:after="100" w:afterAutospacing="1" w:line="312" w:lineRule="auto"/>
                          <w:rPr>
                            <w:rFonts w:ascii="Times New Roman" w:eastAsia="Times New Roman" w:hAnsi="Times New Roman" w:cs="Times New Roman"/>
                            <w:sz w:val="24"/>
                            <w:szCs w:val="24"/>
                            <w:lang w:val="de-DE" w:eastAsia="de-DE" w:bidi="ar-SA"/>
                          </w:rPr>
                        </w:pPr>
                        <w:r w:rsidRPr="007E4386">
                          <w:rPr>
                            <w:rFonts w:ascii="Arial" w:eastAsia="Times New Roman" w:hAnsi="Arial" w:cs="Arial"/>
                            <w:b/>
                            <w:bCs/>
                            <w:color w:val="004B69"/>
                            <w:sz w:val="20"/>
                            <w:szCs w:val="20"/>
                            <w:lang w:val="de-DE" w:eastAsia="de-DE" w:bidi="ar-SA"/>
                          </w:rPr>
                          <w:t>René Graetz</w:t>
                        </w:r>
                        <w:r w:rsidRPr="007E4386">
                          <w:rPr>
                            <w:rFonts w:ascii="Arial" w:eastAsia="Times New Roman" w:hAnsi="Arial" w:cs="Arial"/>
                            <w:color w:val="004B69"/>
                            <w:sz w:val="20"/>
                            <w:szCs w:val="20"/>
                            <w:lang w:val="de-DE" w:eastAsia="de-DE" w:bidi="ar-SA"/>
                          </w:rPr>
                          <w:t xml:space="preserve"> kam 1946 aus der englischen Emigration nach Ostberlin zurück. Davor führte ihn sein Lebensweg unter anderem nach Italien, nach Südafrika und nach Kanada. Er war weitestgehend ein künstlerischer Autodidakt, dessen hochinteressantes Lebenswerk leider in den letzten Jahren in Vergessenheit geriet. Vielleicht bewirkt diese Gemeinschaftsausstellung ein neuerliches Interesse an seiner Kunst. In seiner an Picasso und Henry Moore geschulten spätkubistischen Stilistik entwirft er Metaphern auf Frieden und Krieg, Schönheit und menschliches Leid. Aus seiner Spätphase in den frühen siebziger Jahren sind vier Hauptwerke aus der Werkfolge der „</w:t>
                        </w:r>
                        <w:proofErr w:type="spellStart"/>
                        <w:r w:rsidRPr="007E4386">
                          <w:rPr>
                            <w:rFonts w:ascii="Arial" w:eastAsia="Times New Roman" w:hAnsi="Arial" w:cs="Arial"/>
                            <w:color w:val="004B69"/>
                            <w:sz w:val="20"/>
                            <w:szCs w:val="20"/>
                            <w:lang w:val="de-DE" w:eastAsia="de-DE" w:bidi="ar-SA"/>
                          </w:rPr>
                          <w:t>Upright</w:t>
                        </w:r>
                        <w:proofErr w:type="spellEnd"/>
                        <w:r w:rsidRPr="007E4386">
                          <w:rPr>
                            <w:rFonts w:ascii="Arial" w:eastAsia="Times New Roman" w:hAnsi="Arial" w:cs="Arial"/>
                            <w:color w:val="004B69"/>
                            <w:sz w:val="20"/>
                            <w:szCs w:val="20"/>
                            <w:lang w:val="de-DE" w:eastAsia="de-DE" w:bidi="ar-SA"/>
                          </w:rPr>
                          <w:t xml:space="preserve"> </w:t>
                        </w:r>
                        <w:proofErr w:type="spellStart"/>
                        <w:r w:rsidRPr="007E4386">
                          <w:rPr>
                            <w:rFonts w:ascii="Arial" w:eastAsia="Times New Roman" w:hAnsi="Arial" w:cs="Arial"/>
                            <w:color w:val="004B69"/>
                            <w:sz w:val="20"/>
                            <w:szCs w:val="20"/>
                            <w:lang w:val="de-DE" w:eastAsia="de-DE" w:bidi="ar-SA"/>
                          </w:rPr>
                          <w:t>Figures</w:t>
                        </w:r>
                        <w:proofErr w:type="spellEnd"/>
                        <w:r w:rsidRPr="007E4386">
                          <w:rPr>
                            <w:rFonts w:ascii="Arial" w:eastAsia="Times New Roman" w:hAnsi="Arial" w:cs="Arial"/>
                            <w:color w:val="004B69"/>
                            <w:sz w:val="20"/>
                            <w:szCs w:val="20"/>
                            <w:lang w:val="de-DE" w:eastAsia="de-DE" w:bidi="ar-SA"/>
                          </w:rPr>
                          <w:t>" zu sehen. Turbulent dynamische   Zeichnungen  geben  das große  Thema</w:t>
                        </w:r>
                      </w:p>
                    </w:tc>
                    <w:tc>
                      <w:tcPr>
                        <w:tcW w:w="2415" w:type="dxa"/>
                        <w:tcBorders>
                          <w:top w:val="nil"/>
                          <w:left w:val="nil"/>
                          <w:bottom w:val="nil"/>
                          <w:right w:val="nil"/>
                        </w:tcBorders>
                        <w:hideMark/>
                      </w:tcPr>
                      <w:p w:rsidR="007E4386" w:rsidRPr="007E4386" w:rsidRDefault="007E4386" w:rsidP="007E4386">
                        <w:pPr>
                          <w:spacing w:after="0" w:line="240" w:lineRule="auto"/>
                          <w:jc w:val="right"/>
                          <w:rPr>
                            <w:rFonts w:ascii="Times New Roman" w:eastAsia="Times New Roman" w:hAnsi="Times New Roman" w:cs="Times New Roman"/>
                            <w:sz w:val="24"/>
                            <w:szCs w:val="24"/>
                            <w:lang w:val="de-DE" w:eastAsia="de-DE" w:bidi="ar-SA"/>
                          </w:rPr>
                        </w:pPr>
                      </w:p>
                    </w:tc>
                  </w:tr>
                  <w:tr w:rsidR="007E4386" w:rsidRPr="007E4386">
                    <w:trPr>
                      <w:trHeight w:val="1020"/>
                      <w:jc w:val="center"/>
                    </w:trPr>
                    <w:tc>
                      <w:tcPr>
                        <w:tcW w:w="2925" w:type="dxa"/>
                        <w:tcBorders>
                          <w:top w:val="nil"/>
                          <w:left w:val="nil"/>
                          <w:bottom w:val="nil"/>
                          <w:right w:val="nil"/>
                        </w:tcBorders>
                        <w:hideMark/>
                      </w:tcPr>
                      <w:p w:rsidR="007E4386" w:rsidRPr="007E4386" w:rsidRDefault="007E4386" w:rsidP="007E4386">
                        <w:pPr>
                          <w:spacing w:after="0" w:line="240" w:lineRule="auto"/>
                          <w:rPr>
                            <w:rFonts w:ascii="Times New Roman" w:eastAsia="Times New Roman" w:hAnsi="Times New Roman" w:cs="Times New Roman"/>
                            <w:sz w:val="24"/>
                            <w:szCs w:val="24"/>
                            <w:lang w:val="de-DE" w:eastAsia="de-DE" w:bidi="ar-SA"/>
                          </w:rPr>
                        </w:pPr>
                      </w:p>
                    </w:tc>
                    <w:tc>
                      <w:tcPr>
                        <w:tcW w:w="0" w:type="auto"/>
                        <w:vMerge/>
                        <w:tcBorders>
                          <w:top w:val="nil"/>
                          <w:left w:val="nil"/>
                          <w:bottom w:val="nil"/>
                          <w:right w:val="nil"/>
                        </w:tcBorders>
                        <w:vAlign w:val="center"/>
                        <w:hideMark/>
                      </w:tcPr>
                      <w:p w:rsidR="007E4386" w:rsidRPr="007E4386" w:rsidRDefault="007E4386" w:rsidP="007E4386">
                        <w:pPr>
                          <w:spacing w:after="0" w:line="240" w:lineRule="auto"/>
                          <w:rPr>
                            <w:rFonts w:ascii="Times New Roman" w:eastAsia="Times New Roman" w:hAnsi="Times New Roman" w:cs="Times New Roman"/>
                            <w:sz w:val="24"/>
                            <w:szCs w:val="24"/>
                            <w:lang w:val="de-DE" w:eastAsia="de-DE" w:bidi="ar-SA"/>
                          </w:rPr>
                        </w:pPr>
                      </w:p>
                    </w:tc>
                    <w:tc>
                      <w:tcPr>
                        <w:tcW w:w="2415" w:type="dxa"/>
                        <w:tcBorders>
                          <w:top w:val="nil"/>
                          <w:left w:val="nil"/>
                          <w:bottom w:val="nil"/>
                          <w:right w:val="nil"/>
                        </w:tcBorders>
                        <w:hideMark/>
                      </w:tcPr>
                      <w:p w:rsidR="007E4386" w:rsidRPr="007E4386" w:rsidRDefault="007E4386" w:rsidP="007E4386">
                        <w:pPr>
                          <w:spacing w:after="0" w:line="240" w:lineRule="auto"/>
                          <w:jc w:val="right"/>
                          <w:rPr>
                            <w:rFonts w:ascii="Times New Roman" w:eastAsia="Times New Roman" w:hAnsi="Times New Roman" w:cs="Times New Roman"/>
                            <w:sz w:val="24"/>
                            <w:szCs w:val="24"/>
                            <w:lang w:val="de-DE" w:eastAsia="de-DE" w:bidi="ar-SA"/>
                          </w:rPr>
                        </w:pPr>
                      </w:p>
                    </w:tc>
                  </w:tr>
                </w:tbl>
                <w:p w:rsidR="007E4386" w:rsidRPr="007E4386" w:rsidRDefault="007E4386" w:rsidP="007E4386">
                  <w:pPr>
                    <w:spacing w:after="0" w:line="240" w:lineRule="auto"/>
                    <w:jc w:val="center"/>
                    <w:rPr>
                      <w:rFonts w:ascii="Times New Roman" w:eastAsia="Times New Roman" w:hAnsi="Times New Roman" w:cs="Times New Roman"/>
                      <w:sz w:val="24"/>
                      <w:szCs w:val="24"/>
                      <w:lang w:val="de-DE" w:eastAsia="de-DE" w:bidi="ar-SA"/>
                    </w:rPr>
                  </w:pPr>
                </w:p>
              </w:tc>
            </w:tr>
            <w:tr w:rsidR="007E4386" w:rsidRPr="007E4386" w:rsidTr="007E4386">
              <w:trPr>
                <w:trHeight w:val="1200"/>
              </w:trPr>
              <w:tc>
                <w:tcPr>
                  <w:tcW w:w="10050" w:type="dxa"/>
                  <w:tcBorders>
                    <w:top w:val="nil"/>
                    <w:left w:val="nil"/>
                    <w:bottom w:val="nil"/>
                    <w:right w:val="nil"/>
                  </w:tcBorders>
                  <w:vAlign w:val="center"/>
                  <w:hideMark/>
                </w:tcPr>
                <w:p w:rsidR="007E4386" w:rsidRPr="007E4386" w:rsidRDefault="007E4386" w:rsidP="007E4386">
                  <w:pPr>
                    <w:spacing w:before="100" w:beforeAutospacing="1" w:after="100" w:afterAutospacing="1" w:line="312" w:lineRule="auto"/>
                    <w:rPr>
                      <w:rFonts w:ascii="Times New Roman" w:eastAsia="Times New Roman" w:hAnsi="Times New Roman" w:cs="Times New Roman"/>
                      <w:sz w:val="24"/>
                      <w:szCs w:val="24"/>
                      <w:lang w:val="de-DE" w:eastAsia="de-DE" w:bidi="ar-SA"/>
                    </w:rPr>
                  </w:pPr>
                  <w:r w:rsidRPr="007E4386">
                    <w:rPr>
                      <w:rFonts w:ascii="Arial" w:eastAsia="Times New Roman" w:hAnsi="Arial" w:cs="Arial"/>
                      <w:color w:val="004B69"/>
                      <w:sz w:val="20"/>
                      <w:szCs w:val="20"/>
                      <w:lang w:val="de-DE" w:eastAsia="de-DE" w:bidi="ar-SA"/>
                    </w:rPr>
                    <w:t>der  Gefährdung  des Friedens auf  der Welt durch den Grundkonflikt zwischen den großen kapitalistischen und sozialistischen Machtblöcken. In der DDR beteiligte er sich an vielen Ausschreibungen für öffentliche Aufträge, doch nur wenige fanden eine Umsetzung in den Gedenkstätten und im Stadtumfeld. Seine wohl bekannteste Arbeit ist das von seinem Freund Arno Mohr 1974 beendete Bild zum Thema Frieden im Palast der Republik (heute befindet es sich im Deutschen Historischen Museum Berlin).</w:t>
                  </w:r>
                </w:p>
              </w:tc>
            </w:tr>
          </w:tbl>
          <w:p w:rsidR="00A23E01" w:rsidRPr="00A23E01" w:rsidRDefault="00A23E01" w:rsidP="00A23E01">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p>
        </w:tc>
        <w:tc>
          <w:tcPr>
            <w:tcW w:w="1440" w:type="dxa"/>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c>
          <w:tcPr>
            <w:tcW w:w="3090" w:type="dxa"/>
            <w:tcBorders>
              <w:top w:val="nil"/>
              <w:left w:val="nil"/>
              <w:bottom w:val="nil"/>
              <w:right w:val="nil"/>
            </w:tcBorders>
            <w:vAlign w:val="center"/>
            <w:hideMark/>
          </w:tcPr>
          <w:p w:rsidR="00A23E01" w:rsidRPr="00A23E01" w:rsidRDefault="00A23E01" w:rsidP="00A23E01">
            <w:pPr>
              <w:spacing w:after="0" w:line="240" w:lineRule="auto"/>
              <w:rPr>
                <w:rFonts w:ascii="Times New Roman" w:eastAsia="Times New Roman" w:hAnsi="Times New Roman" w:cs="Times New Roman"/>
                <w:sz w:val="24"/>
                <w:szCs w:val="24"/>
                <w:lang w:val="de-DE" w:eastAsia="de-DE" w:bidi="ar-SA"/>
              </w:rPr>
            </w:pPr>
          </w:p>
        </w:tc>
      </w:tr>
    </w:tbl>
    <w:p w:rsidR="00AF7A1E" w:rsidRPr="007E4386" w:rsidRDefault="00AF7A1E">
      <w:pPr>
        <w:rPr>
          <w:lang w:val="de-DE"/>
        </w:rPr>
      </w:pPr>
    </w:p>
    <w:sectPr w:rsidR="00AF7A1E" w:rsidRPr="007E4386" w:rsidSect="00AF7A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E01"/>
    <w:rsid w:val="000A0A3A"/>
    <w:rsid w:val="006A2BA0"/>
    <w:rsid w:val="007E4386"/>
    <w:rsid w:val="0095228B"/>
    <w:rsid w:val="00A23E01"/>
    <w:rsid w:val="00AF7A1E"/>
    <w:rsid w:val="00E94D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28B"/>
  </w:style>
  <w:style w:type="paragraph" w:styleId="berschrift1">
    <w:name w:val="heading 1"/>
    <w:basedOn w:val="Standard"/>
    <w:next w:val="Standard"/>
    <w:link w:val="berschrift1Zchn"/>
    <w:uiPriority w:val="9"/>
    <w:qFormat/>
    <w:rsid w:val="0095228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95228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95228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95228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95228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95228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95228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95228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95228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228B"/>
    <w:rPr>
      <w:smallCaps/>
      <w:spacing w:val="5"/>
      <w:sz w:val="36"/>
      <w:szCs w:val="36"/>
    </w:rPr>
  </w:style>
  <w:style w:type="character" w:customStyle="1" w:styleId="berschrift2Zchn">
    <w:name w:val="Überschrift 2 Zchn"/>
    <w:basedOn w:val="Absatz-Standardschriftart"/>
    <w:link w:val="berschrift2"/>
    <w:uiPriority w:val="9"/>
    <w:rsid w:val="0095228B"/>
    <w:rPr>
      <w:smallCaps/>
      <w:sz w:val="28"/>
      <w:szCs w:val="28"/>
    </w:rPr>
  </w:style>
  <w:style w:type="character" w:customStyle="1" w:styleId="berschrift3Zchn">
    <w:name w:val="Überschrift 3 Zchn"/>
    <w:basedOn w:val="Absatz-Standardschriftart"/>
    <w:link w:val="berschrift3"/>
    <w:uiPriority w:val="9"/>
    <w:semiHidden/>
    <w:rsid w:val="0095228B"/>
    <w:rPr>
      <w:i/>
      <w:iCs/>
      <w:smallCaps/>
      <w:spacing w:val="5"/>
      <w:sz w:val="26"/>
      <w:szCs w:val="26"/>
    </w:rPr>
  </w:style>
  <w:style w:type="character" w:customStyle="1" w:styleId="berschrift4Zchn">
    <w:name w:val="Überschrift 4 Zchn"/>
    <w:basedOn w:val="Absatz-Standardschriftart"/>
    <w:link w:val="berschrift4"/>
    <w:uiPriority w:val="9"/>
    <w:semiHidden/>
    <w:rsid w:val="0095228B"/>
    <w:rPr>
      <w:b/>
      <w:bCs/>
      <w:spacing w:val="5"/>
      <w:sz w:val="24"/>
      <w:szCs w:val="24"/>
    </w:rPr>
  </w:style>
  <w:style w:type="character" w:customStyle="1" w:styleId="berschrift5Zchn">
    <w:name w:val="Überschrift 5 Zchn"/>
    <w:basedOn w:val="Absatz-Standardschriftart"/>
    <w:link w:val="berschrift5"/>
    <w:uiPriority w:val="9"/>
    <w:semiHidden/>
    <w:rsid w:val="0095228B"/>
    <w:rPr>
      <w:i/>
      <w:iCs/>
      <w:sz w:val="24"/>
      <w:szCs w:val="24"/>
    </w:rPr>
  </w:style>
  <w:style w:type="character" w:customStyle="1" w:styleId="berschrift6Zchn">
    <w:name w:val="Überschrift 6 Zchn"/>
    <w:basedOn w:val="Absatz-Standardschriftart"/>
    <w:link w:val="berschrift6"/>
    <w:uiPriority w:val="9"/>
    <w:semiHidden/>
    <w:rsid w:val="0095228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95228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95228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95228B"/>
    <w:rPr>
      <w:b/>
      <w:bCs/>
      <w:i/>
      <w:iCs/>
      <w:color w:val="7F7F7F" w:themeColor="text1" w:themeTint="80"/>
      <w:sz w:val="18"/>
      <w:szCs w:val="18"/>
    </w:rPr>
  </w:style>
  <w:style w:type="paragraph" w:styleId="Titel">
    <w:name w:val="Title"/>
    <w:basedOn w:val="Standard"/>
    <w:next w:val="Standard"/>
    <w:link w:val="TitelZchn"/>
    <w:uiPriority w:val="10"/>
    <w:qFormat/>
    <w:rsid w:val="0095228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95228B"/>
    <w:rPr>
      <w:smallCaps/>
      <w:sz w:val="52"/>
      <w:szCs w:val="52"/>
    </w:rPr>
  </w:style>
  <w:style w:type="paragraph" w:styleId="Untertitel">
    <w:name w:val="Subtitle"/>
    <w:basedOn w:val="Standard"/>
    <w:next w:val="Standard"/>
    <w:link w:val="UntertitelZchn"/>
    <w:uiPriority w:val="11"/>
    <w:qFormat/>
    <w:rsid w:val="0095228B"/>
    <w:rPr>
      <w:i/>
      <w:iCs/>
      <w:smallCaps/>
      <w:spacing w:val="10"/>
      <w:sz w:val="28"/>
      <w:szCs w:val="28"/>
    </w:rPr>
  </w:style>
  <w:style w:type="character" w:customStyle="1" w:styleId="UntertitelZchn">
    <w:name w:val="Untertitel Zchn"/>
    <w:basedOn w:val="Absatz-Standardschriftart"/>
    <w:link w:val="Untertitel"/>
    <w:uiPriority w:val="11"/>
    <w:rsid w:val="0095228B"/>
    <w:rPr>
      <w:i/>
      <w:iCs/>
      <w:smallCaps/>
      <w:spacing w:val="10"/>
      <w:sz w:val="28"/>
      <w:szCs w:val="28"/>
    </w:rPr>
  </w:style>
  <w:style w:type="character" w:styleId="Fett">
    <w:name w:val="Strong"/>
    <w:uiPriority w:val="22"/>
    <w:qFormat/>
    <w:rsid w:val="0095228B"/>
    <w:rPr>
      <w:b/>
      <w:bCs/>
    </w:rPr>
  </w:style>
  <w:style w:type="character" w:styleId="Hervorhebung">
    <w:name w:val="Emphasis"/>
    <w:uiPriority w:val="20"/>
    <w:qFormat/>
    <w:rsid w:val="0095228B"/>
    <w:rPr>
      <w:b/>
      <w:bCs/>
      <w:i/>
      <w:iCs/>
      <w:spacing w:val="10"/>
    </w:rPr>
  </w:style>
  <w:style w:type="paragraph" w:styleId="KeinLeerraum">
    <w:name w:val="No Spacing"/>
    <w:basedOn w:val="Standard"/>
    <w:uiPriority w:val="1"/>
    <w:qFormat/>
    <w:rsid w:val="0095228B"/>
    <w:pPr>
      <w:spacing w:after="0" w:line="240" w:lineRule="auto"/>
    </w:pPr>
  </w:style>
  <w:style w:type="paragraph" w:styleId="Listenabsatz">
    <w:name w:val="List Paragraph"/>
    <w:basedOn w:val="Standard"/>
    <w:uiPriority w:val="34"/>
    <w:qFormat/>
    <w:rsid w:val="0095228B"/>
    <w:pPr>
      <w:ind w:left="720"/>
      <w:contextualSpacing/>
    </w:pPr>
  </w:style>
  <w:style w:type="paragraph" w:styleId="Anfhrungszeichen">
    <w:name w:val="Quote"/>
    <w:basedOn w:val="Standard"/>
    <w:next w:val="Standard"/>
    <w:link w:val="AnfhrungszeichenZchn"/>
    <w:uiPriority w:val="29"/>
    <w:qFormat/>
    <w:rsid w:val="0095228B"/>
    <w:rPr>
      <w:i/>
      <w:iCs/>
    </w:rPr>
  </w:style>
  <w:style w:type="character" w:customStyle="1" w:styleId="AnfhrungszeichenZchn">
    <w:name w:val="Anführungszeichen Zchn"/>
    <w:basedOn w:val="Absatz-Standardschriftart"/>
    <w:link w:val="Anfhrungszeichen"/>
    <w:uiPriority w:val="29"/>
    <w:rsid w:val="0095228B"/>
    <w:rPr>
      <w:i/>
      <w:iCs/>
    </w:rPr>
  </w:style>
  <w:style w:type="paragraph" w:styleId="IntensivesAnfhrungszeichen">
    <w:name w:val="Intense Quote"/>
    <w:basedOn w:val="Standard"/>
    <w:next w:val="Standard"/>
    <w:link w:val="IntensivesAnfhrungszeichenZchn"/>
    <w:uiPriority w:val="30"/>
    <w:qFormat/>
    <w:rsid w:val="0095228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95228B"/>
    <w:rPr>
      <w:i/>
      <w:iCs/>
    </w:rPr>
  </w:style>
  <w:style w:type="character" w:styleId="SchwacheHervorhebung">
    <w:name w:val="Subtle Emphasis"/>
    <w:uiPriority w:val="19"/>
    <w:qFormat/>
    <w:rsid w:val="0095228B"/>
    <w:rPr>
      <w:i/>
      <w:iCs/>
    </w:rPr>
  </w:style>
  <w:style w:type="character" w:styleId="IntensiveHervorhebung">
    <w:name w:val="Intense Emphasis"/>
    <w:uiPriority w:val="21"/>
    <w:qFormat/>
    <w:rsid w:val="0095228B"/>
    <w:rPr>
      <w:b/>
      <w:bCs/>
      <w:i/>
      <w:iCs/>
    </w:rPr>
  </w:style>
  <w:style w:type="character" w:styleId="SchwacherVerweis">
    <w:name w:val="Subtle Reference"/>
    <w:basedOn w:val="Absatz-Standardschriftart"/>
    <w:uiPriority w:val="31"/>
    <w:qFormat/>
    <w:rsid w:val="0095228B"/>
    <w:rPr>
      <w:smallCaps/>
    </w:rPr>
  </w:style>
  <w:style w:type="character" w:styleId="IntensiverVerweis">
    <w:name w:val="Intense Reference"/>
    <w:uiPriority w:val="32"/>
    <w:qFormat/>
    <w:rsid w:val="0095228B"/>
    <w:rPr>
      <w:b/>
      <w:bCs/>
      <w:smallCaps/>
    </w:rPr>
  </w:style>
  <w:style w:type="character" w:styleId="Buchtitel">
    <w:name w:val="Book Title"/>
    <w:basedOn w:val="Absatz-Standardschriftart"/>
    <w:uiPriority w:val="33"/>
    <w:qFormat/>
    <w:rsid w:val="0095228B"/>
    <w:rPr>
      <w:i/>
      <w:iCs/>
      <w:smallCaps/>
      <w:spacing w:val="5"/>
    </w:rPr>
  </w:style>
  <w:style w:type="paragraph" w:styleId="Inhaltsverzeichnisberschrift">
    <w:name w:val="TOC Heading"/>
    <w:basedOn w:val="berschrift1"/>
    <w:next w:val="Standard"/>
    <w:uiPriority w:val="39"/>
    <w:semiHidden/>
    <w:unhideWhenUsed/>
    <w:qFormat/>
    <w:rsid w:val="0095228B"/>
    <w:pPr>
      <w:outlineLvl w:val="9"/>
    </w:pPr>
  </w:style>
  <w:style w:type="paragraph" w:styleId="StandardWeb">
    <w:name w:val="Normal (Web)"/>
    <w:basedOn w:val="Standard"/>
    <w:uiPriority w:val="99"/>
    <w:unhideWhenUsed/>
    <w:rsid w:val="00A23E01"/>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semiHidden/>
    <w:unhideWhenUsed/>
    <w:rsid w:val="00A23E01"/>
    <w:rPr>
      <w:color w:val="0000FF"/>
      <w:u w:val="single"/>
    </w:rPr>
  </w:style>
  <w:style w:type="paragraph" w:styleId="Sprechblasentext">
    <w:name w:val="Balloon Text"/>
    <w:basedOn w:val="Standard"/>
    <w:link w:val="SprechblasentextZchn"/>
    <w:uiPriority w:val="99"/>
    <w:semiHidden/>
    <w:unhideWhenUsed/>
    <w:rsid w:val="00A2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3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90507">
      <w:bodyDiv w:val="1"/>
      <w:marLeft w:val="0"/>
      <w:marRight w:val="0"/>
      <w:marTop w:val="0"/>
      <w:marBottom w:val="0"/>
      <w:divBdr>
        <w:top w:val="none" w:sz="0" w:space="0" w:color="auto"/>
        <w:left w:val="none" w:sz="0" w:space="0" w:color="auto"/>
        <w:bottom w:val="none" w:sz="0" w:space="0" w:color="auto"/>
        <w:right w:val="none" w:sz="0" w:space="0" w:color="auto"/>
      </w:divBdr>
    </w:div>
    <w:div w:id="17117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2</cp:revision>
  <dcterms:created xsi:type="dcterms:W3CDTF">2017-11-08T16:07:00Z</dcterms:created>
  <dcterms:modified xsi:type="dcterms:W3CDTF">2017-11-08T16:58:00Z</dcterms:modified>
</cp:coreProperties>
</file>