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3A" w:rsidRPr="00460C3F" w:rsidRDefault="0085153A" w:rsidP="0085153A">
      <w:pPr>
        <w:numPr>
          <w:ilvl w:val="0"/>
          <w:numId w:val="4"/>
        </w:numPr>
        <w:spacing w:before="100" w:beforeAutospacing="1" w:after="24" w:line="288" w:lineRule="atLeast"/>
        <w:ind w:left="3456"/>
        <w:rPr>
          <w:rFonts w:ascii="Arial" w:eastAsia="Times New Roman" w:hAnsi="Arial" w:cs="Arial"/>
          <w:color w:val="222222"/>
          <w:sz w:val="20"/>
          <w:szCs w:val="20"/>
          <w:lang w:eastAsia="de-DE"/>
        </w:rPr>
      </w:pPr>
      <w:bookmarkStart w:id="0" w:name="_GoBack"/>
      <w:bookmarkEnd w:id="0"/>
      <w:r>
        <w:rPr>
          <w:rFonts w:ascii="Arial" w:hAnsi="Arial" w:cs="Arial"/>
          <w:b/>
          <w:bCs/>
          <w:color w:val="000000"/>
          <w:sz w:val="20"/>
          <w:szCs w:val="20"/>
          <w:shd w:val="clear" w:color="auto" w:fill="FFFFFF"/>
        </w:rPr>
        <w:t>Dr. Katzenbergers Badereise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ist eine Satire</w:t>
      </w:r>
      <w:hyperlink r:id="rId6" w:anchor="cite_note-1" w:history="1">
        <w:r>
          <w:rPr>
            <w:rStyle w:val="Hyperlink"/>
            <w:rFonts w:ascii="Arial" w:hAnsi="Arial" w:cs="Arial"/>
            <w:color w:val="0B0080"/>
            <w:u w:val="none"/>
            <w:shd w:val="clear" w:color="auto" w:fill="FFFFFF"/>
            <w:vertAlign w:val="superscript"/>
          </w:rPr>
          <w:t>[1]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von</w:t>
      </w:r>
      <w:r>
        <w:rPr>
          <w:rStyle w:val="apple-converted-space"/>
          <w:rFonts w:ascii="Arial" w:hAnsi="Arial" w:cs="Arial"/>
          <w:color w:val="000000"/>
          <w:sz w:val="20"/>
          <w:szCs w:val="20"/>
          <w:shd w:val="clear" w:color="auto" w:fill="FFFFFF"/>
        </w:rPr>
        <w:t> </w:t>
      </w:r>
      <w:hyperlink r:id="rId7" w:tooltip="Jean Paul" w:history="1">
        <w:r>
          <w:rPr>
            <w:rStyle w:val="Hyperlink"/>
            <w:rFonts w:ascii="Arial" w:hAnsi="Arial" w:cs="Arial"/>
            <w:color w:val="0B0080"/>
            <w:sz w:val="20"/>
            <w:szCs w:val="20"/>
            <w:u w:val="none"/>
            <w:shd w:val="clear" w:color="auto" w:fill="FFFFFF"/>
          </w:rPr>
          <w:t>Jean Paul</w:t>
        </w:r>
      </w:hyperlink>
      <w:r>
        <w:rPr>
          <w:rFonts w:ascii="Arial" w:hAnsi="Arial" w:cs="Arial"/>
          <w:color w:val="000000"/>
          <w:sz w:val="20"/>
          <w:szCs w:val="20"/>
          <w:shd w:val="clear" w:color="auto" w:fill="FFFFFF"/>
        </w:rPr>
        <w:t>, die – 1807/1808 entstanden</w:t>
      </w:r>
      <w:hyperlink r:id="rId8" w:anchor="cite_note-2" w:history="1">
        <w:r>
          <w:rPr>
            <w:rStyle w:val="Hyperlink"/>
            <w:rFonts w:ascii="Arial" w:hAnsi="Arial" w:cs="Arial"/>
            <w:color w:val="0B0080"/>
            <w:u w:val="none"/>
            <w:shd w:val="clear" w:color="auto" w:fill="FFFFFF"/>
            <w:vertAlign w:val="superscript"/>
          </w:rPr>
          <w:t>[2]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Ostern 1809 bei</w:t>
      </w:r>
      <w:r>
        <w:rPr>
          <w:rStyle w:val="apple-converted-space"/>
          <w:rFonts w:ascii="Arial" w:hAnsi="Arial" w:cs="Arial"/>
          <w:color w:val="000000"/>
          <w:sz w:val="20"/>
          <w:szCs w:val="20"/>
          <w:shd w:val="clear" w:color="auto" w:fill="FFFFFF"/>
        </w:rPr>
        <w:t> </w:t>
      </w:r>
      <w:hyperlink r:id="rId9" w:anchor="Frankfurt_und_Heidelberg" w:tooltip="Mohr Siebeck Verlag" w:history="1">
        <w:r>
          <w:rPr>
            <w:rStyle w:val="Hyperlink"/>
            <w:rFonts w:ascii="Arial" w:hAnsi="Arial" w:cs="Arial"/>
            <w:color w:val="0B0080"/>
            <w:sz w:val="20"/>
            <w:szCs w:val="20"/>
            <w:u w:val="none"/>
            <w:shd w:val="clear" w:color="auto" w:fill="FFFFFF"/>
          </w:rPr>
          <w:t>Mohr und Zimmer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in Heidelberg erschien   </w:t>
      </w:r>
      <w:r w:rsidRPr="00460C3F">
        <w:rPr>
          <w:rFonts w:ascii="Arial" w:eastAsia="Times New Roman" w:hAnsi="Arial" w:cs="Arial"/>
          <w:color w:val="222222"/>
          <w:sz w:val="20"/>
          <w:szCs w:val="20"/>
          <w:lang w:eastAsia="de-DE"/>
        </w:rPr>
        <w:t>Jean Paul kannte </w:t>
      </w:r>
      <w:hyperlink r:id="rId10" w:tgtFrame="_blank" w:tooltip="Bad Liebenstein" w:history="1">
        <w:r w:rsidRPr="00460C3F">
          <w:rPr>
            <w:rFonts w:ascii="Arial" w:eastAsia="Times New Roman" w:hAnsi="Arial" w:cs="Arial"/>
            <w:color w:val="0B0080"/>
            <w:sz w:val="20"/>
            <w:szCs w:val="20"/>
            <w:u w:val="single"/>
            <w:lang w:eastAsia="de-DE"/>
          </w:rPr>
          <w:t>Bad Liebenstein</w:t>
        </w:r>
      </w:hyperlink>
      <w:r w:rsidRPr="00460C3F">
        <w:rPr>
          <w:rFonts w:ascii="Arial" w:eastAsia="Times New Roman" w:hAnsi="Arial" w:cs="Arial"/>
          <w:color w:val="222222"/>
          <w:sz w:val="20"/>
          <w:szCs w:val="20"/>
          <w:lang w:eastAsia="de-DE"/>
        </w:rPr>
        <w:t> und nahm es für Bad Maulbronn</w:t>
      </w:r>
      <w:hyperlink r:id="rId11" w:anchor="cite_note-18" w:tgtFrame="_blank" w:history="1">
        <w:r w:rsidRPr="00460C3F">
          <w:rPr>
            <w:rFonts w:ascii="Arial" w:eastAsia="Times New Roman" w:hAnsi="Arial" w:cs="Arial"/>
            <w:color w:val="0B0080"/>
            <w:sz w:val="20"/>
            <w:szCs w:val="20"/>
            <w:u w:val="single"/>
            <w:vertAlign w:val="superscript"/>
            <w:lang w:eastAsia="de-DE"/>
          </w:rPr>
          <w:t>[17]</w:t>
        </w:r>
      </w:hyperlink>
      <w:r w:rsidRPr="00460C3F">
        <w:rPr>
          <w:rFonts w:ascii="Arial" w:eastAsia="Times New Roman" w:hAnsi="Arial" w:cs="Arial"/>
          <w:color w:val="222222"/>
          <w:sz w:val="20"/>
          <w:szCs w:val="20"/>
          <w:lang w:eastAsia="de-DE"/>
        </w:rPr>
        <w:t>.</w:t>
      </w:r>
      <w:r w:rsidRPr="00460C3F">
        <w:rPr>
          <w:rFonts w:ascii="Arial" w:eastAsia="Times New Roman" w:hAnsi="Arial" w:cs="Arial"/>
          <w:color w:val="222222"/>
          <w:sz w:val="20"/>
          <w:szCs w:val="20"/>
          <w:lang w:eastAsia="de-DE"/>
        </w:rPr>
        <w:br/>
      </w:r>
      <w:r>
        <w:rPr>
          <w:rFonts w:ascii="Arial" w:eastAsia="Times New Roman" w:hAnsi="Arial" w:cs="Arial"/>
          <w:color w:val="222222"/>
          <w:sz w:val="20"/>
          <w:szCs w:val="20"/>
          <w:shd w:val="clear" w:color="auto" w:fill="DDEEFF"/>
          <w:lang w:eastAsia="de-DE"/>
        </w:rPr>
        <w:t xml:space="preserve">                                                </w:t>
      </w:r>
      <w:r w:rsidRPr="00460C3F">
        <w:rPr>
          <w:rFonts w:ascii="Arial" w:eastAsia="Times New Roman" w:hAnsi="Arial" w:cs="Arial"/>
          <w:color w:val="222222"/>
          <w:sz w:val="20"/>
          <w:szCs w:val="20"/>
          <w:shd w:val="clear" w:color="auto" w:fill="DDEEFF"/>
          <w:lang w:eastAsia="de-DE"/>
        </w:rPr>
        <w:t>Höllerer in der Quelle (1359,30)</w:t>
      </w:r>
    </w:p>
    <w:p w:rsidR="00460C3F" w:rsidRPr="00460C3F" w:rsidRDefault="00460C3F" w:rsidP="00460C3F">
      <w:pPr>
        <w:spacing w:before="96" w:after="120" w:line="288" w:lineRule="atLeast"/>
        <w:rPr>
          <w:rFonts w:ascii="Arial" w:eastAsia="Times New Roman" w:hAnsi="Arial" w:cs="Arial"/>
          <w:color w:val="222222"/>
          <w:sz w:val="20"/>
          <w:szCs w:val="20"/>
          <w:lang w:eastAsia="de-DE"/>
        </w:rPr>
      </w:pPr>
      <w:r>
        <w:rPr>
          <w:rFonts w:ascii="Arial" w:eastAsia="Times New Roman" w:hAnsi="Arial" w:cs="Arial"/>
          <w:color w:val="222222"/>
          <w:sz w:val="20"/>
          <w:szCs w:val="20"/>
          <w:lang w:eastAsia="de-DE"/>
        </w:rPr>
        <w:br/>
      </w:r>
      <w:r w:rsidR="0085153A" w:rsidRPr="0085153A">
        <w:rPr>
          <w:rFonts w:ascii="Arial" w:eastAsia="Times New Roman" w:hAnsi="Arial" w:cs="Arial"/>
          <w:b/>
          <w:i/>
          <w:color w:val="222222"/>
          <w:sz w:val="20"/>
          <w:szCs w:val="20"/>
          <w:lang w:eastAsia="de-DE"/>
        </w:rPr>
        <w:t>Inhalt:</w:t>
      </w:r>
      <w:r>
        <w:rPr>
          <w:rFonts w:ascii="Arial" w:eastAsia="Times New Roman" w:hAnsi="Arial" w:cs="Arial"/>
          <w:color w:val="222222"/>
          <w:sz w:val="20"/>
          <w:szCs w:val="20"/>
          <w:lang w:eastAsia="de-DE"/>
        </w:rPr>
        <w:br/>
      </w:r>
      <w:r w:rsidRPr="00460C3F">
        <w:rPr>
          <w:rFonts w:ascii="Arial" w:eastAsia="Times New Roman" w:hAnsi="Arial" w:cs="Arial"/>
          <w:color w:val="222222"/>
          <w:sz w:val="20"/>
          <w:szCs w:val="20"/>
          <w:lang w:eastAsia="de-DE"/>
        </w:rPr>
        <w:t xml:space="preserve">Der „verwitwete ausübende Arzt und anatomische Professor Katzenberger von der Universität </w:t>
      </w:r>
      <w:proofErr w:type="spellStart"/>
      <w:r w:rsidRPr="00460C3F">
        <w:rPr>
          <w:rFonts w:ascii="Arial" w:eastAsia="Times New Roman" w:hAnsi="Arial" w:cs="Arial"/>
          <w:color w:val="222222"/>
          <w:sz w:val="20"/>
          <w:szCs w:val="20"/>
          <w:lang w:eastAsia="de-DE"/>
        </w:rPr>
        <w:t>Pira</w:t>
      </w:r>
      <w:proofErr w:type="spellEnd"/>
      <w:r w:rsidRPr="00460C3F">
        <w:rPr>
          <w:rFonts w:ascii="Arial" w:eastAsia="Times New Roman" w:hAnsi="Arial" w:cs="Arial"/>
          <w:color w:val="222222"/>
          <w:sz w:val="20"/>
          <w:szCs w:val="20"/>
          <w:lang w:eastAsia="de-DE"/>
        </w:rPr>
        <w:t xml:space="preserve"> im </w:t>
      </w:r>
      <w:proofErr w:type="spellStart"/>
      <w:r w:rsidRPr="00460C3F">
        <w:rPr>
          <w:rFonts w:ascii="Arial" w:eastAsia="Times New Roman" w:hAnsi="Arial" w:cs="Arial"/>
          <w:color w:val="222222"/>
          <w:sz w:val="20"/>
          <w:szCs w:val="20"/>
          <w:lang w:eastAsia="de-DE"/>
        </w:rPr>
        <w:t>Fürstentume</w:t>
      </w:r>
      <w:proofErr w:type="spellEnd"/>
      <w:r w:rsidRPr="00460C3F">
        <w:rPr>
          <w:rFonts w:ascii="Arial" w:eastAsia="Times New Roman" w:hAnsi="Arial" w:cs="Arial"/>
          <w:color w:val="222222"/>
          <w:sz w:val="20"/>
          <w:szCs w:val="20"/>
          <w:lang w:eastAsia="de-DE"/>
        </w:rPr>
        <w:t xml:space="preserve"> </w:t>
      </w:r>
      <w:proofErr w:type="spellStart"/>
      <w:r w:rsidRPr="00460C3F">
        <w:rPr>
          <w:rFonts w:ascii="Arial" w:eastAsia="Times New Roman" w:hAnsi="Arial" w:cs="Arial"/>
          <w:color w:val="222222"/>
          <w:sz w:val="20"/>
          <w:szCs w:val="20"/>
          <w:lang w:eastAsia="de-DE"/>
        </w:rPr>
        <w:t>Zäckingen</w:t>
      </w:r>
      <w:proofErr w:type="spellEnd"/>
      <w:r w:rsidRPr="00460C3F">
        <w:rPr>
          <w:rFonts w:ascii="Arial" w:eastAsia="Times New Roman" w:hAnsi="Arial" w:cs="Arial"/>
          <w:color w:val="222222"/>
          <w:sz w:val="20"/>
          <w:szCs w:val="20"/>
          <w:lang w:eastAsia="de-DE"/>
        </w:rPr>
        <w:t xml:space="preserve">“ sucht Gesellschaft für die Reise nach Bad Maulbronn. Schließlich meldet sich Herr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von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Katzenberger reist noch mit seiner einzigen Tochter </w:t>
      </w:r>
      <w:proofErr w:type="spellStart"/>
      <w:r w:rsidRPr="00460C3F">
        <w:rPr>
          <w:rFonts w:ascii="Arial" w:eastAsia="Times New Roman" w:hAnsi="Arial" w:cs="Arial"/>
          <w:color w:val="222222"/>
          <w:sz w:val="20"/>
          <w:szCs w:val="20"/>
          <w:lang w:eastAsia="de-DE"/>
        </w:rPr>
        <w:t>Theoda</w:t>
      </w:r>
      <w:proofErr w:type="spellEnd"/>
      <w:r w:rsidRPr="00460C3F">
        <w:rPr>
          <w:rFonts w:ascii="Arial" w:eastAsia="Times New Roman" w:hAnsi="Arial" w:cs="Arial"/>
          <w:color w:val="222222"/>
          <w:sz w:val="20"/>
          <w:szCs w:val="20"/>
          <w:lang w:eastAsia="de-DE"/>
        </w:rPr>
        <w:t xml:space="preserve">, beabsichtigt jedoch keine Badekur, sondern macht sich geschäftlich auf den Weg. Der </w:t>
      </w:r>
      <w:proofErr w:type="spellStart"/>
      <w:r w:rsidRPr="00460C3F">
        <w:rPr>
          <w:rFonts w:ascii="Arial" w:eastAsia="Times New Roman" w:hAnsi="Arial" w:cs="Arial"/>
          <w:color w:val="222222"/>
          <w:sz w:val="20"/>
          <w:szCs w:val="20"/>
          <w:lang w:eastAsia="de-DE"/>
        </w:rPr>
        <w:t>Maulbronner</w:t>
      </w:r>
      <w:proofErr w:type="spellEnd"/>
      <w:r w:rsidRPr="00460C3F">
        <w:rPr>
          <w:rFonts w:ascii="Arial" w:eastAsia="Times New Roman" w:hAnsi="Arial" w:cs="Arial"/>
          <w:color w:val="222222"/>
          <w:sz w:val="20"/>
          <w:szCs w:val="20"/>
          <w:lang w:eastAsia="de-DE"/>
        </w:rPr>
        <w:t xml:space="preserve"> Brunnenarzt </w:t>
      </w:r>
      <w:proofErr w:type="spellStart"/>
      <w:r w:rsidRPr="00460C3F">
        <w:rPr>
          <w:rFonts w:ascii="Arial" w:eastAsia="Times New Roman" w:hAnsi="Arial" w:cs="Arial"/>
          <w:color w:val="222222"/>
          <w:sz w:val="20"/>
          <w:szCs w:val="20"/>
          <w:lang w:eastAsia="de-DE"/>
        </w:rPr>
        <w:t>Strykius</w:t>
      </w:r>
      <w:proofErr w:type="spellEnd"/>
      <w:r w:rsidRPr="00460C3F">
        <w:rPr>
          <w:rFonts w:ascii="Arial" w:eastAsia="Times New Roman" w:hAnsi="Arial" w:cs="Arial"/>
          <w:color w:val="222222"/>
          <w:sz w:val="20"/>
          <w:szCs w:val="20"/>
          <w:lang w:eastAsia="de-DE"/>
        </w:rPr>
        <w:t xml:space="preserve"> hat Katzenbergers drei Hauptwerke</w:t>
      </w:r>
      <w:hyperlink r:id="rId12" w:anchor="cite_note-A1-5" w:tgtFrame="_blank" w:history="1">
        <w:r w:rsidRPr="00460C3F">
          <w:rPr>
            <w:rFonts w:ascii="Arial" w:eastAsia="Times New Roman" w:hAnsi="Arial" w:cs="Arial"/>
            <w:color w:val="0B0080"/>
            <w:sz w:val="20"/>
            <w:szCs w:val="20"/>
            <w:u w:val="single"/>
            <w:vertAlign w:val="superscript"/>
            <w:lang w:eastAsia="de-DE"/>
          </w:rPr>
          <w:t>[A 1]</w:t>
        </w:r>
      </w:hyperlink>
      <w:r w:rsidRPr="00460C3F">
        <w:rPr>
          <w:rFonts w:ascii="Arial" w:eastAsia="Times New Roman" w:hAnsi="Arial" w:cs="Arial"/>
          <w:color w:val="222222"/>
          <w:sz w:val="20"/>
          <w:szCs w:val="20"/>
          <w:lang w:eastAsia="de-DE"/>
        </w:rPr>
        <w:t> giftig</w:t>
      </w:r>
      <w:hyperlink r:id="rId13" w:anchor="cite_note-6" w:tgtFrame="_blank" w:history="1">
        <w:r w:rsidRPr="00460C3F">
          <w:rPr>
            <w:rFonts w:ascii="Arial" w:eastAsia="Times New Roman" w:hAnsi="Arial" w:cs="Arial"/>
            <w:color w:val="0B0080"/>
            <w:sz w:val="20"/>
            <w:szCs w:val="20"/>
            <w:u w:val="single"/>
            <w:vertAlign w:val="superscript"/>
            <w:lang w:eastAsia="de-DE"/>
          </w:rPr>
          <w:t>[5]</w:t>
        </w:r>
      </w:hyperlink>
      <w:r w:rsidRPr="00460C3F">
        <w:rPr>
          <w:rFonts w:ascii="Arial" w:eastAsia="Times New Roman" w:hAnsi="Arial" w:cs="Arial"/>
          <w:color w:val="222222"/>
          <w:sz w:val="20"/>
          <w:szCs w:val="20"/>
          <w:lang w:eastAsia="de-DE"/>
        </w:rPr>
        <w:t> rezensiert. Für diese Schmähungen an der Ehre will der Autor den Rezensenten „beträchtlich ausprügeln“.</w:t>
      </w:r>
    </w:p>
    <w:p w:rsidR="00460C3F" w:rsidRPr="00460C3F" w:rsidRDefault="00460C3F" w:rsidP="00460C3F">
      <w:pPr>
        <w:spacing w:before="96" w:after="120" w:line="288" w:lineRule="atLeast"/>
        <w:rPr>
          <w:rFonts w:ascii="Arial" w:eastAsia="Times New Roman" w:hAnsi="Arial" w:cs="Arial"/>
          <w:color w:val="222222"/>
          <w:sz w:val="20"/>
          <w:szCs w:val="20"/>
          <w:lang w:eastAsia="de-DE"/>
        </w:rPr>
      </w:pP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gibt vor, er treffe in Maulbronn mit seinem Freunde, dem großen Bühnendichter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zusammen.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und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aber sind ein und dieselbe Person. </w:t>
      </w:r>
      <w:proofErr w:type="spellStart"/>
      <w:r w:rsidRPr="00460C3F">
        <w:rPr>
          <w:rFonts w:ascii="Arial" w:eastAsia="Times New Roman" w:hAnsi="Arial" w:cs="Arial"/>
          <w:color w:val="222222"/>
          <w:sz w:val="20"/>
          <w:szCs w:val="20"/>
          <w:lang w:eastAsia="de-DE"/>
        </w:rPr>
        <w:t>Theoda</w:t>
      </w:r>
      <w:proofErr w:type="spellEnd"/>
      <w:r w:rsidRPr="00460C3F">
        <w:rPr>
          <w:rFonts w:ascii="Arial" w:eastAsia="Times New Roman" w:hAnsi="Arial" w:cs="Arial"/>
          <w:color w:val="222222"/>
          <w:sz w:val="20"/>
          <w:szCs w:val="20"/>
          <w:lang w:eastAsia="de-DE"/>
        </w:rPr>
        <w:t xml:space="preserve">, ahnungslos, sehnt das Rendezvous mit dem Dichter, dem Autor des bekannten Stückes „Der Ritter einer besseren Zeit“, herbei. Auf der Fahrt nach Maulbronn fragt das junge Mädchen in der Kutsche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über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aus. Hat der Dichter eine Braut?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muss verneinen, will die blühende Jungfrau gewinnen, bringt jedoch nicht den Mut auf. In Maulbronn dann macht der Zufall seine Absicht zunichte. Herr von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lädt die Badegesellschaft zu einem musikalischen </w:t>
      </w:r>
      <w:proofErr w:type="spellStart"/>
      <w:r w:rsidRPr="00460C3F">
        <w:rPr>
          <w:rFonts w:ascii="Arial" w:eastAsia="Times New Roman" w:hAnsi="Arial" w:cs="Arial"/>
          <w:color w:val="222222"/>
          <w:sz w:val="20"/>
          <w:szCs w:val="20"/>
          <w:lang w:eastAsia="de-DE"/>
        </w:rPr>
        <w:t>Deklamatorium</w:t>
      </w:r>
      <w:proofErr w:type="spellEnd"/>
      <w:r w:rsidRPr="00460C3F">
        <w:rPr>
          <w:rFonts w:ascii="Arial" w:eastAsia="Times New Roman" w:hAnsi="Arial" w:cs="Arial"/>
          <w:color w:val="222222"/>
          <w:sz w:val="20"/>
          <w:szCs w:val="20"/>
          <w:lang w:eastAsia="de-DE"/>
        </w:rPr>
        <w:t xml:space="preserve"> des besten </w:t>
      </w:r>
      <w:proofErr w:type="spellStart"/>
      <w:r w:rsidRPr="00460C3F">
        <w:rPr>
          <w:rFonts w:ascii="Arial" w:eastAsia="Times New Roman" w:hAnsi="Arial" w:cs="Arial"/>
          <w:color w:val="222222"/>
          <w:sz w:val="20"/>
          <w:szCs w:val="20"/>
          <w:lang w:eastAsia="de-DE"/>
        </w:rPr>
        <w:t>Theudobachischen</w:t>
      </w:r>
      <w:proofErr w:type="spellEnd"/>
      <w:r w:rsidRPr="00460C3F">
        <w:rPr>
          <w:rFonts w:ascii="Arial" w:eastAsia="Times New Roman" w:hAnsi="Arial" w:cs="Arial"/>
          <w:color w:val="222222"/>
          <w:sz w:val="20"/>
          <w:szCs w:val="20"/>
          <w:lang w:eastAsia="de-DE"/>
        </w:rPr>
        <w:t xml:space="preserve"> Stückes ein. In dem Konzertsaal kommt der junge preußische Militärschriftsteller Hauptmann von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vorbei und beansprucht den Namen zu Recht für sich. Da hilft es auch nicht, dass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sich </w:t>
      </w:r>
      <w:proofErr w:type="spellStart"/>
      <w:r w:rsidRPr="00460C3F">
        <w:rPr>
          <w:rFonts w:ascii="Arial" w:eastAsia="Times New Roman" w:hAnsi="Arial" w:cs="Arial"/>
          <w:color w:val="222222"/>
          <w:sz w:val="20"/>
          <w:szCs w:val="20"/>
          <w:lang w:eastAsia="de-DE"/>
        </w:rPr>
        <w:t>Theoda</w:t>
      </w:r>
      <w:proofErr w:type="spellEnd"/>
      <w:r w:rsidRPr="00460C3F">
        <w:rPr>
          <w:rFonts w:ascii="Arial" w:eastAsia="Times New Roman" w:hAnsi="Arial" w:cs="Arial"/>
          <w:color w:val="222222"/>
          <w:sz w:val="20"/>
          <w:szCs w:val="20"/>
          <w:lang w:eastAsia="de-DE"/>
        </w:rPr>
        <w:t xml:space="preserve"> als </w:t>
      </w:r>
      <w:proofErr w:type="spellStart"/>
      <w:r w:rsidRPr="00460C3F">
        <w:rPr>
          <w:rFonts w:ascii="Arial" w:eastAsia="Times New Roman" w:hAnsi="Arial" w:cs="Arial"/>
          <w:color w:val="222222"/>
          <w:sz w:val="20"/>
          <w:szCs w:val="20"/>
          <w:lang w:eastAsia="de-DE"/>
        </w:rPr>
        <w:t>Theudobach</w:t>
      </w:r>
      <w:proofErr w:type="spellEnd"/>
      <w:r w:rsidRPr="00460C3F">
        <w:rPr>
          <w:rFonts w:ascii="Arial" w:eastAsia="Times New Roman" w:hAnsi="Arial" w:cs="Arial"/>
          <w:color w:val="222222"/>
          <w:sz w:val="20"/>
          <w:szCs w:val="20"/>
          <w:lang w:eastAsia="de-DE"/>
        </w:rPr>
        <w:t xml:space="preserve"> von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erklärt. Der Hauptmann mit dem „blühenden Gesicht und Leben“ macht bei </w:t>
      </w:r>
      <w:proofErr w:type="spellStart"/>
      <w:r w:rsidRPr="00460C3F">
        <w:rPr>
          <w:rFonts w:ascii="Arial" w:eastAsia="Times New Roman" w:hAnsi="Arial" w:cs="Arial"/>
          <w:color w:val="222222"/>
          <w:sz w:val="20"/>
          <w:szCs w:val="20"/>
          <w:lang w:eastAsia="de-DE"/>
        </w:rPr>
        <w:t>Theoda</w:t>
      </w:r>
      <w:proofErr w:type="spellEnd"/>
      <w:r w:rsidRPr="00460C3F">
        <w:rPr>
          <w:rFonts w:ascii="Arial" w:eastAsia="Times New Roman" w:hAnsi="Arial" w:cs="Arial"/>
          <w:color w:val="222222"/>
          <w:sz w:val="20"/>
          <w:szCs w:val="20"/>
          <w:lang w:eastAsia="de-DE"/>
        </w:rPr>
        <w:t xml:space="preserve"> das Rennen, und der Deklamator </w:t>
      </w:r>
      <w:proofErr w:type="spellStart"/>
      <w:r w:rsidRPr="00460C3F">
        <w:rPr>
          <w:rFonts w:ascii="Arial" w:eastAsia="Times New Roman" w:hAnsi="Arial" w:cs="Arial"/>
          <w:color w:val="222222"/>
          <w:sz w:val="20"/>
          <w:szCs w:val="20"/>
          <w:lang w:eastAsia="de-DE"/>
        </w:rPr>
        <w:t>Nieß</w:t>
      </w:r>
      <w:proofErr w:type="spellEnd"/>
      <w:r w:rsidRPr="00460C3F">
        <w:rPr>
          <w:rFonts w:ascii="Arial" w:eastAsia="Times New Roman" w:hAnsi="Arial" w:cs="Arial"/>
          <w:color w:val="222222"/>
          <w:sz w:val="20"/>
          <w:szCs w:val="20"/>
          <w:lang w:eastAsia="de-DE"/>
        </w:rPr>
        <w:t xml:space="preserve"> purzelt von seinem hohen Siegwagen herab. Der „ewige Bund des Lebens zwischen zwei festen und reinen Herzen“ wird geschlossen.</w:t>
      </w:r>
    </w:p>
    <w:p w:rsidR="00460C3F" w:rsidRPr="00460C3F" w:rsidRDefault="00460C3F" w:rsidP="00460C3F">
      <w:pPr>
        <w:spacing w:before="96" w:after="120" w:line="288" w:lineRule="atLeast"/>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Die Liebenden benötigen nur noch das Vater-Ja. Das Paar packt Katzenberger bei seiner „naturhistorischen Unersättlichkeit“. Der Vater der Braut gibt sein „bedingtes Ja“: Falls der Hauptmann dort in Preußen wirklich ein Landgut besitzt mit einer „Höhle voll Bärenknochen“, dann soll die Hochzeit sein. Katzenberger, reisefreudig, will sich persönlich von Rittergut und Bärenhöhle überzeugen. Alles wird gut. Jean Paul bietet dem Leser ein Happyend. Wie könnte es anders sein! Meint doch Katzenberger, ein Mädchen könne man – bei aller väterlichen Liebe – nicht zeitig genug an einen wackeren jüngeren Mann weitergeben.</w:t>
      </w:r>
    </w:p>
    <w:p w:rsidR="00460C3F" w:rsidRPr="00460C3F" w:rsidRDefault="00460C3F" w:rsidP="00460C3F">
      <w:pPr>
        <w:spacing w:before="96" w:after="120" w:line="288" w:lineRule="atLeast"/>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 xml:space="preserve">Und </w:t>
      </w:r>
      <w:proofErr w:type="spellStart"/>
      <w:r w:rsidRPr="00460C3F">
        <w:rPr>
          <w:rFonts w:ascii="Arial" w:eastAsia="Times New Roman" w:hAnsi="Arial" w:cs="Arial"/>
          <w:color w:val="222222"/>
          <w:sz w:val="20"/>
          <w:szCs w:val="20"/>
          <w:lang w:eastAsia="de-DE"/>
        </w:rPr>
        <w:t>Theoda</w:t>
      </w:r>
      <w:proofErr w:type="spellEnd"/>
      <w:r w:rsidRPr="00460C3F">
        <w:rPr>
          <w:rFonts w:ascii="Arial" w:eastAsia="Times New Roman" w:hAnsi="Arial" w:cs="Arial"/>
          <w:color w:val="222222"/>
          <w:sz w:val="20"/>
          <w:szCs w:val="20"/>
          <w:lang w:eastAsia="de-DE"/>
        </w:rPr>
        <w:t xml:space="preserve"> ihrerseits liebt den Vater auch – trotz aller seiner Schwächen, lobt sein Feuer für die Wissenschaft, beklagt sein Los des gelehrten einsamen Riesen. Der Schwächen sind nicht wenige. Die Rachsucht, also die Bestrafung des frechen Rezensenten, wurde bereits genannt. Bereits auf der Reise nach Maulbronn waren weitere Abnormitäten an das Tageslicht gekommen. </w:t>
      </w:r>
      <w:proofErr w:type="gramStart"/>
      <w:r w:rsidRPr="00460C3F">
        <w:rPr>
          <w:rFonts w:ascii="Arial" w:eastAsia="Times New Roman" w:hAnsi="Arial" w:cs="Arial"/>
          <w:color w:val="222222"/>
          <w:sz w:val="20"/>
          <w:szCs w:val="20"/>
          <w:lang w:eastAsia="de-DE"/>
        </w:rPr>
        <w:t>Ein</w:t>
      </w:r>
      <w:proofErr w:type="gramEnd"/>
      <w:r w:rsidRPr="00460C3F">
        <w:rPr>
          <w:rFonts w:ascii="Arial" w:eastAsia="Times New Roman" w:hAnsi="Arial" w:cs="Arial"/>
          <w:color w:val="222222"/>
          <w:sz w:val="20"/>
          <w:szCs w:val="20"/>
          <w:lang w:eastAsia="de-DE"/>
        </w:rPr>
        <w:t xml:space="preserve"> Gastwirtin wollte nichts von Katzenberger wissen, weil sie ihn von früher her als Kammerjäger in Erinnerung hatte. </w:t>
      </w:r>
      <w:hyperlink r:id="rId14" w:tgtFrame="_blank" w:tooltip="Weberknechte" w:history="1">
        <w:r w:rsidRPr="00460C3F">
          <w:rPr>
            <w:rFonts w:ascii="Arial" w:eastAsia="Times New Roman" w:hAnsi="Arial" w:cs="Arial"/>
            <w:color w:val="0B0080"/>
            <w:sz w:val="20"/>
            <w:szCs w:val="20"/>
            <w:u w:val="single"/>
            <w:lang w:eastAsia="de-DE"/>
          </w:rPr>
          <w:t>Kanker</w:t>
        </w:r>
      </w:hyperlink>
      <w:r w:rsidRPr="00460C3F">
        <w:rPr>
          <w:rFonts w:ascii="Arial" w:eastAsia="Times New Roman" w:hAnsi="Arial" w:cs="Arial"/>
          <w:color w:val="222222"/>
          <w:sz w:val="20"/>
          <w:szCs w:val="20"/>
          <w:lang w:eastAsia="de-DE"/>
        </w:rPr>
        <w:t xml:space="preserve"> hatte Katzenberger auf die Semmelschnitte gestrichen, hatte fette runde Spinnen verzehrt. Die frisch im Wirtshauskeller gejagten Tiere hatten ihm geschmeckt wie Haselnüsse. Weiterhin teilt der allwissende Erzähler mit: Katzenbergers Faible für die Anatomie gehe so weit, dass er jeden Patienten, der seine künftige Leichenöffnung schon vorab gestatte, umsonst in die Kur nehme. Und ganz besonders sei der Anatomie-Professor am Studium jeglicher Missbildung interessiert. Zu diesem Behufe würde er sogar mit einer weiblichen Missgeburt in den Stand der Ehe treten, wenn sie sonst nicht wohlfeiler zu haben wäre. So ist es auch nicht weiter verwunderlich, wenn Katzenberger auf der Reise einen „gut ausgestopften, achtbeinigen Doppelhasen“, so ein zusammengewachsenes Hasen-tête-à-tête, aus einer Apotheke stiehlt und seinem Widerpart </w:t>
      </w:r>
      <w:proofErr w:type="spellStart"/>
      <w:r w:rsidRPr="00460C3F">
        <w:rPr>
          <w:rFonts w:ascii="Arial" w:eastAsia="Times New Roman" w:hAnsi="Arial" w:cs="Arial"/>
          <w:color w:val="222222"/>
          <w:sz w:val="20"/>
          <w:szCs w:val="20"/>
          <w:lang w:eastAsia="de-DE"/>
        </w:rPr>
        <w:t>Strykius</w:t>
      </w:r>
      <w:proofErr w:type="spellEnd"/>
      <w:r w:rsidRPr="00460C3F">
        <w:rPr>
          <w:rFonts w:ascii="Arial" w:eastAsia="Times New Roman" w:hAnsi="Arial" w:cs="Arial"/>
          <w:color w:val="222222"/>
          <w:sz w:val="20"/>
          <w:szCs w:val="20"/>
          <w:lang w:eastAsia="de-DE"/>
        </w:rPr>
        <w:t xml:space="preserve"> „eine alte </w:t>
      </w:r>
      <w:proofErr w:type="spellStart"/>
      <w:r w:rsidRPr="00460C3F">
        <w:rPr>
          <w:rFonts w:ascii="Arial" w:eastAsia="Times New Roman" w:hAnsi="Arial" w:cs="Arial"/>
          <w:color w:val="222222"/>
          <w:sz w:val="20"/>
          <w:szCs w:val="20"/>
          <w:lang w:eastAsia="de-DE"/>
        </w:rPr>
        <w:t>abgedürrte</w:t>
      </w:r>
      <w:proofErr w:type="spellEnd"/>
      <w:r w:rsidRPr="00460C3F">
        <w:rPr>
          <w:rFonts w:ascii="Arial" w:eastAsia="Times New Roman" w:hAnsi="Arial" w:cs="Arial"/>
          <w:color w:val="222222"/>
          <w:sz w:val="20"/>
          <w:szCs w:val="20"/>
          <w:lang w:eastAsia="de-DE"/>
        </w:rPr>
        <w:t xml:space="preserve"> Hand mit sechs Fingern“ abluchst. Der Anatom sammelt munter auf dem </w:t>
      </w:r>
      <w:r w:rsidRPr="00460C3F">
        <w:rPr>
          <w:rFonts w:ascii="Arial" w:eastAsia="Times New Roman" w:hAnsi="Arial" w:cs="Arial"/>
          <w:color w:val="222222"/>
          <w:sz w:val="20"/>
          <w:szCs w:val="20"/>
          <w:lang w:eastAsia="de-DE"/>
        </w:rPr>
        <w:lastRenderedPageBreak/>
        <w:t>Gottesacker Knochen ein und will unterwegs einen Abstecher zur Hinrichtung eines Posträubers machen. An dem Gehenkten könnte man doch </w:t>
      </w:r>
      <w:proofErr w:type="spellStart"/>
      <w:r w:rsidRPr="00460C3F">
        <w:rPr>
          <w:rFonts w:ascii="Arial" w:eastAsia="Times New Roman" w:hAnsi="Arial" w:cs="Arial"/>
          <w:color w:val="222222"/>
          <w:sz w:val="20"/>
          <w:szCs w:val="20"/>
          <w:lang w:eastAsia="de-DE"/>
        </w:rPr>
        <w:fldChar w:fldCharType="begin"/>
      </w:r>
      <w:r w:rsidRPr="00460C3F">
        <w:rPr>
          <w:rFonts w:ascii="Arial" w:eastAsia="Times New Roman" w:hAnsi="Arial" w:cs="Arial"/>
          <w:color w:val="222222"/>
          <w:sz w:val="20"/>
          <w:szCs w:val="20"/>
          <w:lang w:eastAsia="de-DE"/>
        </w:rPr>
        <w:instrText xml:space="preserve"> HYPERLINK "http://de.wikipedia.org/wiki/Galvanismus" \o "Galvanismus" \t "_blank" </w:instrText>
      </w:r>
      <w:r w:rsidRPr="00460C3F">
        <w:rPr>
          <w:rFonts w:ascii="Arial" w:eastAsia="Times New Roman" w:hAnsi="Arial" w:cs="Arial"/>
          <w:color w:val="222222"/>
          <w:sz w:val="20"/>
          <w:szCs w:val="20"/>
          <w:lang w:eastAsia="de-DE"/>
        </w:rPr>
        <w:fldChar w:fldCharType="separate"/>
      </w:r>
      <w:r w:rsidRPr="00460C3F">
        <w:rPr>
          <w:rFonts w:ascii="Arial" w:eastAsia="Times New Roman" w:hAnsi="Arial" w:cs="Arial"/>
          <w:color w:val="0B0080"/>
          <w:sz w:val="20"/>
          <w:szCs w:val="20"/>
          <w:u w:val="single"/>
          <w:lang w:eastAsia="de-DE"/>
        </w:rPr>
        <w:t>galvanische</w:t>
      </w:r>
      <w:r w:rsidRPr="00460C3F">
        <w:rPr>
          <w:rFonts w:ascii="Arial" w:eastAsia="Times New Roman" w:hAnsi="Arial" w:cs="Arial"/>
          <w:color w:val="222222"/>
          <w:sz w:val="20"/>
          <w:szCs w:val="20"/>
          <w:lang w:eastAsia="de-DE"/>
        </w:rPr>
        <w:fldChar w:fldCharType="end"/>
      </w:r>
      <w:r w:rsidRPr="00460C3F">
        <w:rPr>
          <w:rFonts w:ascii="Arial" w:eastAsia="Times New Roman" w:hAnsi="Arial" w:cs="Arial"/>
          <w:color w:val="222222"/>
          <w:sz w:val="20"/>
          <w:szCs w:val="20"/>
          <w:lang w:eastAsia="de-DE"/>
        </w:rPr>
        <w:t>Versuche</w:t>
      </w:r>
      <w:proofErr w:type="spellEnd"/>
      <w:r w:rsidRPr="00460C3F">
        <w:rPr>
          <w:rFonts w:ascii="Arial" w:eastAsia="Times New Roman" w:hAnsi="Arial" w:cs="Arial"/>
          <w:color w:val="222222"/>
          <w:sz w:val="20"/>
          <w:szCs w:val="20"/>
          <w:lang w:eastAsia="de-DE"/>
        </w:rPr>
        <w:t xml:space="preserve"> machen. Gleich nachdem </w:t>
      </w:r>
      <w:proofErr w:type="spellStart"/>
      <w:r w:rsidRPr="00460C3F">
        <w:rPr>
          <w:rFonts w:ascii="Arial" w:eastAsia="Times New Roman" w:hAnsi="Arial" w:cs="Arial"/>
          <w:color w:val="222222"/>
          <w:sz w:val="20"/>
          <w:szCs w:val="20"/>
          <w:lang w:eastAsia="de-DE"/>
        </w:rPr>
        <w:t>Theodas</w:t>
      </w:r>
      <w:proofErr w:type="spellEnd"/>
      <w:r w:rsidRPr="00460C3F">
        <w:rPr>
          <w:rFonts w:ascii="Arial" w:eastAsia="Times New Roman" w:hAnsi="Arial" w:cs="Arial"/>
          <w:color w:val="222222"/>
          <w:sz w:val="20"/>
          <w:szCs w:val="20"/>
          <w:lang w:eastAsia="de-DE"/>
        </w:rPr>
        <w:t xml:space="preserve"> beste Freundin ein Kind geboren hat, erkundigt Katzenberger sich: „Der Junge ist wohl höchst regelmäßig gebaut?“ und verhehlt damit schlecht und recht sein wissenschaftliches Interesse: das Studium von Missbildungen. Die Stillende nennt er Säugetier. Und überhaupt, alle negativeren Charaktereigenschaften sind in Katzenberger versammelt. Mit Entzücken steht er nachts auf der Straße und schaut den Leuten durch die Ritzen ihrer Fensterläden zu. Auch seine Tochter mit ihrem Hauptmann beobachtet er auf diese Weise. Aber gegen den „tiefen Ernst der Liebe“ muss sich der Brautvater geschlagen geben.</w:t>
      </w:r>
    </w:p>
    <w:p w:rsidR="00460C3F" w:rsidRPr="00460C3F" w:rsidRDefault="00460C3F" w:rsidP="00460C3F">
      <w:pPr>
        <w:pBdr>
          <w:bottom w:val="single" w:sz="6" w:space="2" w:color="AAAAAA"/>
        </w:pBdr>
        <w:spacing w:after="144" w:line="288" w:lineRule="atLeast"/>
        <w:outlineLvl w:val="1"/>
        <w:rPr>
          <w:rFonts w:ascii="Arial" w:eastAsia="Times New Roman" w:hAnsi="Arial" w:cs="Arial"/>
          <w:color w:val="222222"/>
          <w:sz w:val="29"/>
          <w:szCs w:val="29"/>
          <w:lang w:eastAsia="de-DE"/>
        </w:rPr>
      </w:pPr>
      <w:r w:rsidRPr="00460C3F">
        <w:rPr>
          <w:rFonts w:ascii="Arial" w:eastAsia="Times New Roman" w:hAnsi="Arial" w:cs="Arial"/>
          <w:color w:val="222222"/>
          <w:sz w:val="29"/>
          <w:szCs w:val="29"/>
          <w:lang w:eastAsia="de-DE"/>
        </w:rPr>
        <w:t>Zitat </w:t>
      </w:r>
      <w:r w:rsidRPr="00460C3F">
        <w:rPr>
          <w:rFonts w:ascii="Arial" w:eastAsia="Times New Roman" w:hAnsi="Arial" w:cs="Arial"/>
          <w:color w:val="222222"/>
          <w:sz w:val="20"/>
          <w:szCs w:val="20"/>
          <w:lang w:eastAsia="de-DE"/>
        </w:rPr>
        <w:t>[</w:t>
      </w:r>
      <w:hyperlink r:id="rId15" w:tgtFrame="_blank" w:tooltip="Abschnitt bearbeiten: Zitat" w:history="1">
        <w:r w:rsidRPr="00460C3F">
          <w:rPr>
            <w:rFonts w:ascii="Arial" w:eastAsia="Times New Roman" w:hAnsi="Arial" w:cs="Arial"/>
            <w:color w:val="0B0080"/>
            <w:sz w:val="20"/>
            <w:szCs w:val="20"/>
            <w:u w:val="single"/>
            <w:lang w:eastAsia="de-DE"/>
          </w:rPr>
          <w:t>Bearbeiten</w:t>
        </w:r>
      </w:hyperlink>
      <w:r w:rsidRPr="00460C3F">
        <w:rPr>
          <w:rFonts w:ascii="Arial" w:eastAsia="Times New Roman" w:hAnsi="Arial" w:cs="Arial"/>
          <w:color w:val="222222"/>
          <w:sz w:val="20"/>
          <w:szCs w:val="20"/>
          <w:lang w:eastAsia="de-DE"/>
        </w:rPr>
        <w:t>]</w:t>
      </w:r>
    </w:p>
    <w:p w:rsidR="00460C3F" w:rsidRPr="00460C3F" w:rsidRDefault="00460C3F" w:rsidP="00460C3F">
      <w:pPr>
        <w:spacing w:after="100" w:line="360" w:lineRule="atLeast"/>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w:t>
      </w:r>
      <w:proofErr w:type="spellStart"/>
      <w:r w:rsidRPr="00460C3F">
        <w:rPr>
          <w:rFonts w:ascii="Arial" w:eastAsia="Times New Roman" w:hAnsi="Arial" w:cs="Arial"/>
          <w:color w:val="222222"/>
          <w:sz w:val="20"/>
          <w:szCs w:val="20"/>
          <w:lang w:eastAsia="de-DE"/>
        </w:rPr>
        <w:t>Theodas</w:t>
      </w:r>
      <w:proofErr w:type="spellEnd"/>
      <w:r w:rsidRPr="00460C3F">
        <w:rPr>
          <w:rFonts w:ascii="Arial" w:eastAsia="Times New Roman" w:hAnsi="Arial" w:cs="Arial"/>
          <w:color w:val="222222"/>
          <w:sz w:val="20"/>
          <w:szCs w:val="20"/>
          <w:lang w:eastAsia="de-DE"/>
        </w:rPr>
        <w:t xml:space="preserve"> Herz zitterte, aber freudig, … überall klang die Welt zurück, und es wurde ihr zuletzt im Rausche der Nacht, als stehe sie wieder mit ihrem Geliebten an der Felsenwand, an der sich ihr Leben entschieden. Die Dörfer, die Städte, das Erdengetümmel schwanden hin, und nur die Sterne und die Berge blieben der Liebe. Die Welt schien ihnen die Ewigkeit, die Sterne gingen nur auf und keine unter. Endlich stieg der Stern der Liebe wie ein kleiner hellblinkender Mond im Morgen auf, die Morgenröte glühte ihnen entgegen, und die Sonne zog in die Rosen-Glut hinein. Hinter ihnen über den Bergen, wo sie sich gefunden hatten, wölbte sich ein Regenbogen hoch in den Himmel. Und so kamen sie an, eine Seele in die andere gesunken, den Nachtschimmer in den Tages-Glanz ziehend, und ihre Blicke waren traumtrunken. O Schicksal, warum </w:t>
      </w:r>
      <w:proofErr w:type="spellStart"/>
      <w:r w:rsidRPr="00460C3F">
        <w:rPr>
          <w:rFonts w:ascii="Arial" w:eastAsia="Times New Roman" w:hAnsi="Arial" w:cs="Arial"/>
          <w:color w:val="222222"/>
          <w:sz w:val="20"/>
          <w:szCs w:val="20"/>
          <w:lang w:eastAsia="de-DE"/>
        </w:rPr>
        <w:t>lässest</w:t>
      </w:r>
      <w:proofErr w:type="spellEnd"/>
      <w:r w:rsidRPr="00460C3F">
        <w:rPr>
          <w:rFonts w:ascii="Arial" w:eastAsia="Times New Roman" w:hAnsi="Arial" w:cs="Arial"/>
          <w:color w:val="222222"/>
          <w:sz w:val="20"/>
          <w:szCs w:val="20"/>
          <w:lang w:eastAsia="de-DE"/>
        </w:rPr>
        <w:t xml:space="preserve"> du so wenige deiner Menschen eine solche Nacht, ach nur eine Stunde daraus erleben? Sie würden sie nie vergessen, sie würden mit ihr als mit dem Frühlings-Weiß und Rot die Wüsten des Lebens färben – sie würden zwar weinen und schmachten, aber nicht nach Zukunft, sondern nach Vergangenheit – und sie würden, wenn sie stürben, auch sagen: auch ich war in Arkadien!“</w:t>
      </w:r>
      <w:hyperlink r:id="rId16" w:anchor="cite_note-7" w:tgtFrame="_blank" w:history="1">
        <w:r w:rsidRPr="00460C3F">
          <w:rPr>
            <w:rFonts w:ascii="Arial" w:eastAsia="Times New Roman" w:hAnsi="Arial" w:cs="Arial"/>
            <w:color w:val="0B0080"/>
            <w:sz w:val="20"/>
            <w:szCs w:val="20"/>
            <w:u w:val="single"/>
            <w:vertAlign w:val="superscript"/>
            <w:lang w:eastAsia="de-DE"/>
          </w:rPr>
          <w:t>[6]</w:t>
        </w:r>
      </w:hyperlink>
    </w:p>
    <w:p w:rsidR="00460C3F" w:rsidRPr="00460C3F" w:rsidRDefault="00460C3F" w:rsidP="00460C3F">
      <w:pPr>
        <w:pBdr>
          <w:bottom w:val="single" w:sz="6" w:space="2" w:color="AAAAAA"/>
        </w:pBdr>
        <w:spacing w:after="144" w:line="288" w:lineRule="atLeast"/>
        <w:outlineLvl w:val="1"/>
        <w:rPr>
          <w:rFonts w:ascii="Arial" w:eastAsia="Times New Roman" w:hAnsi="Arial" w:cs="Arial"/>
          <w:color w:val="222222"/>
          <w:sz w:val="29"/>
          <w:szCs w:val="29"/>
          <w:lang w:eastAsia="de-DE"/>
        </w:rPr>
      </w:pPr>
      <w:r w:rsidRPr="00460C3F">
        <w:rPr>
          <w:rFonts w:ascii="Arial" w:eastAsia="Times New Roman" w:hAnsi="Arial" w:cs="Arial"/>
          <w:color w:val="222222"/>
          <w:sz w:val="29"/>
          <w:szCs w:val="29"/>
          <w:lang w:eastAsia="de-DE"/>
        </w:rPr>
        <w:t>Form </w:t>
      </w:r>
      <w:r w:rsidRPr="00460C3F">
        <w:rPr>
          <w:rFonts w:ascii="Arial" w:eastAsia="Times New Roman" w:hAnsi="Arial" w:cs="Arial"/>
          <w:color w:val="222222"/>
          <w:sz w:val="20"/>
          <w:szCs w:val="20"/>
          <w:lang w:eastAsia="de-DE"/>
        </w:rPr>
        <w:t>[</w:t>
      </w:r>
      <w:hyperlink r:id="rId17" w:tgtFrame="_blank" w:tooltip="Abschnitt bearbeiten: Form" w:history="1">
        <w:r w:rsidRPr="00460C3F">
          <w:rPr>
            <w:rFonts w:ascii="Arial" w:eastAsia="Times New Roman" w:hAnsi="Arial" w:cs="Arial"/>
            <w:color w:val="0B0080"/>
            <w:sz w:val="20"/>
            <w:szCs w:val="20"/>
            <w:u w:val="single"/>
            <w:lang w:eastAsia="de-DE"/>
          </w:rPr>
          <w:t>Bearbeiten</w:t>
        </w:r>
      </w:hyperlink>
      <w:r w:rsidRPr="00460C3F">
        <w:rPr>
          <w:rFonts w:ascii="Arial" w:eastAsia="Times New Roman" w:hAnsi="Arial" w:cs="Arial"/>
          <w:color w:val="222222"/>
          <w:sz w:val="20"/>
          <w:szCs w:val="20"/>
          <w:lang w:eastAsia="de-DE"/>
        </w:rPr>
        <w:t>]</w:t>
      </w:r>
    </w:p>
    <w:p w:rsidR="00460C3F" w:rsidRPr="00460C3F" w:rsidRDefault="00460C3F" w:rsidP="00460C3F">
      <w:pPr>
        <w:spacing w:before="96" w:after="120" w:line="288" w:lineRule="atLeast"/>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Das Werk besteht aus drei Bändchen. Der </w:t>
      </w:r>
      <w:r w:rsidRPr="00460C3F">
        <w:rPr>
          <w:rFonts w:ascii="Arial" w:eastAsia="Times New Roman" w:hAnsi="Arial" w:cs="Arial"/>
          <w:i/>
          <w:iCs/>
          <w:color w:val="222222"/>
          <w:sz w:val="20"/>
          <w:szCs w:val="20"/>
          <w:lang w:eastAsia="de-DE"/>
        </w:rPr>
        <w:t>Katzenberger</w:t>
      </w:r>
      <w:r w:rsidRPr="00460C3F">
        <w:rPr>
          <w:rFonts w:ascii="Arial" w:eastAsia="Times New Roman" w:hAnsi="Arial" w:cs="Arial"/>
          <w:color w:val="222222"/>
          <w:sz w:val="20"/>
          <w:szCs w:val="20"/>
          <w:lang w:eastAsia="de-DE"/>
        </w:rPr>
        <w:t>, also die eigentliche Erzählung, steht in 45 Kapiteln (</w:t>
      </w:r>
      <w:proofErr w:type="spellStart"/>
      <w:r w:rsidRPr="00460C3F">
        <w:rPr>
          <w:rFonts w:ascii="Arial" w:eastAsia="Times New Roman" w:hAnsi="Arial" w:cs="Arial"/>
          <w:color w:val="222222"/>
          <w:sz w:val="20"/>
          <w:szCs w:val="20"/>
          <w:lang w:eastAsia="de-DE"/>
        </w:rPr>
        <w:t>summula</w:t>
      </w:r>
      <w:proofErr w:type="spellEnd"/>
      <w:r w:rsidRPr="00460C3F">
        <w:rPr>
          <w:rFonts w:ascii="Arial" w:eastAsia="Times New Roman" w:hAnsi="Arial" w:cs="Arial"/>
          <w:color w:val="222222"/>
          <w:sz w:val="20"/>
          <w:szCs w:val="20"/>
          <w:lang w:eastAsia="de-DE"/>
        </w:rPr>
        <w:t xml:space="preserve">, lat. Sümmchen), die der Leser in drei Abteilungen inmitten von zwei Vorreden und elf </w:t>
      </w:r>
      <w:proofErr w:type="spellStart"/>
      <w:r w:rsidRPr="00460C3F">
        <w:rPr>
          <w:rFonts w:ascii="Arial" w:eastAsia="Times New Roman" w:hAnsi="Arial" w:cs="Arial"/>
          <w:color w:val="222222"/>
          <w:sz w:val="20"/>
          <w:szCs w:val="20"/>
          <w:lang w:eastAsia="de-DE"/>
        </w:rPr>
        <w:t>Werkchen</w:t>
      </w:r>
      <w:proofErr w:type="spellEnd"/>
      <w:r w:rsidRPr="00460C3F">
        <w:rPr>
          <w:rFonts w:ascii="Arial" w:eastAsia="Times New Roman" w:hAnsi="Arial" w:cs="Arial"/>
          <w:color w:val="222222"/>
          <w:sz w:val="20"/>
          <w:szCs w:val="20"/>
          <w:lang w:eastAsia="de-DE"/>
        </w:rPr>
        <w:t xml:space="preserve"> auffindet.</w:t>
      </w:r>
    </w:p>
    <w:p w:rsidR="00460C3F" w:rsidRPr="00460C3F" w:rsidRDefault="00460C3F" w:rsidP="00460C3F">
      <w:pPr>
        <w:numPr>
          <w:ilvl w:val="0"/>
          <w:numId w:val="1"/>
        </w:numPr>
        <w:spacing w:before="100" w:beforeAutospacing="1" w:after="24" w:line="288" w:lineRule="atLeast"/>
        <w:ind w:left="384"/>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Erstes Bändchen</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Vorrede zum ersten und zweiten Bändchen der ersten Auflage</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Vorrede zur zweiten Auflage</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Erste Abteilung</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proofErr w:type="spellStart"/>
      <w:r w:rsidRPr="00460C3F">
        <w:rPr>
          <w:rFonts w:ascii="Arial" w:eastAsia="Times New Roman" w:hAnsi="Arial" w:cs="Arial"/>
          <w:color w:val="222222"/>
          <w:sz w:val="20"/>
          <w:szCs w:val="20"/>
          <w:lang w:eastAsia="de-DE"/>
        </w:rPr>
        <w:t>Werkchen</w:t>
      </w:r>
      <w:proofErr w:type="spellEnd"/>
    </w:p>
    <w:p w:rsidR="00460C3F" w:rsidRPr="00460C3F" w:rsidRDefault="00460C3F" w:rsidP="00460C3F">
      <w:pPr>
        <w:numPr>
          <w:ilvl w:val="0"/>
          <w:numId w:val="2"/>
        </w:numPr>
        <w:spacing w:before="100" w:beforeAutospacing="1" w:after="24" w:line="288" w:lineRule="atLeast"/>
        <w:ind w:left="19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Zweites Bändchen</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Zweite Abteilung</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proofErr w:type="spellStart"/>
      <w:r w:rsidRPr="00460C3F">
        <w:rPr>
          <w:rFonts w:ascii="Arial" w:eastAsia="Times New Roman" w:hAnsi="Arial" w:cs="Arial"/>
          <w:color w:val="222222"/>
          <w:sz w:val="20"/>
          <w:szCs w:val="20"/>
          <w:lang w:eastAsia="de-DE"/>
        </w:rPr>
        <w:t>Werkchen</w:t>
      </w:r>
      <w:proofErr w:type="spellEnd"/>
    </w:p>
    <w:p w:rsidR="00460C3F" w:rsidRPr="00460C3F" w:rsidRDefault="00460C3F" w:rsidP="00460C3F">
      <w:pPr>
        <w:numPr>
          <w:ilvl w:val="0"/>
          <w:numId w:val="3"/>
        </w:numPr>
        <w:spacing w:before="100" w:beforeAutospacing="1" w:after="24" w:line="288" w:lineRule="atLeast"/>
        <w:ind w:left="2688"/>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Drittes Bändchen</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Dritte Abteilung</w:t>
      </w:r>
    </w:p>
    <w:p w:rsidR="00460C3F" w:rsidRPr="00460C3F" w:rsidRDefault="00460C3F" w:rsidP="00460C3F">
      <w:pPr>
        <w:spacing w:after="24" w:line="360" w:lineRule="atLeast"/>
        <w:ind w:left="720"/>
        <w:rPr>
          <w:rFonts w:ascii="Arial" w:eastAsia="Times New Roman" w:hAnsi="Arial" w:cs="Arial"/>
          <w:color w:val="222222"/>
          <w:sz w:val="20"/>
          <w:szCs w:val="20"/>
          <w:lang w:eastAsia="de-DE"/>
        </w:rPr>
      </w:pPr>
      <w:proofErr w:type="spellStart"/>
      <w:r w:rsidRPr="00460C3F">
        <w:rPr>
          <w:rFonts w:ascii="Arial" w:eastAsia="Times New Roman" w:hAnsi="Arial" w:cs="Arial"/>
          <w:color w:val="222222"/>
          <w:sz w:val="20"/>
          <w:szCs w:val="20"/>
          <w:lang w:eastAsia="de-DE"/>
        </w:rPr>
        <w:t>Werkchen</w:t>
      </w:r>
      <w:proofErr w:type="spellEnd"/>
    </w:p>
    <w:p w:rsidR="00460C3F" w:rsidRPr="00460C3F" w:rsidRDefault="00460C3F" w:rsidP="00460C3F">
      <w:pPr>
        <w:spacing w:before="96" w:after="120" w:line="288" w:lineRule="atLeast"/>
        <w:ind w:left="3072"/>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lastRenderedPageBreak/>
        <w:t xml:space="preserve">Die „verbesserten </w:t>
      </w:r>
      <w:proofErr w:type="spellStart"/>
      <w:r w:rsidRPr="00460C3F">
        <w:rPr>
          <w:rFonts w:ascii="Arial" w:eastAsia="Times New Roman" w:hAnsi="Arial" w:cs="Arial"/>
          <w:color w:val="222222"/>
          <w:sz w:val="20"/>
          <w:szCs w:val="20"/>
          <w:lang w:eastAsia="de-DE"/>
        </w:rPr>
        <w:t>Werkchen</w:t>
      </w:r>
      <w:proofErr w:type="spellEnd"/>
      <w:r w:rsidRPr="00460C3F">
        <w:rPr>
          <w:rFonts w:ascii="Arial" w:eastAsia="Times New Roman" w:hAnsi="Arial" w:cs="Arial"/>
          <w:color w:val="222222"/>
          <w:sz w:val="20"/>
          <w:szCs w:val="20"/>
          <w:lang w:eastAsia="de-DE"/>
        </w:rPr>
        <w:t>“, die im Titel angekündigt werden und – wie bei Jean Paul gang und gäbe – zusammenhanglos neben der Titelerzählung stehen, sind:</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proofErr w:type="spellStart"/>
      <w:r w:rsidRPr="00460C3F">
        <w:rPr>
          <w:rFonts w:ascii="Arial" w:eastAsia="Times New Roman" w:hAnsi="Arial" w:cs="Arial"/>
          <w:color w:val="222222"/>
          <w:sz w:val="20"/>
          <w:szCs w:val="20"/>
          <w:lang w:eastAsia="de-DE"/>
        </w:rPr>
        <w:t>Huldigungpredigt</w:t>
      </w:r>
      <w:proofErr w:type="spellEnd"/>
      <w:r w:rsidRPr="00460C3F">
        <w:rPr>
          <w:rFonts w:ascii="Arial" w:eastAsia="Times New Roman" w:hAnsi="Arial" w:cs="Arial"/>
          <w:color w:val="222222"/>
          <w:sz w:val="20"/>
          <w:szCs w:val="20"/>
          <w:lang w:eastAsia="de-DE"/>
        </w:rPr>
        <w:t xml:space="preserve"> vor und unter dem Regierantritt der Sonne</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Über </w:t>
      </w:r>
      <w:hyperlink r:id="rId18" w:tgtFrame="_blank" w:tooltip="Johann Peter Hebel" w:history="1">
        <w:r w:rsidRPr="00460C3F">
          <w:rPr>
            <w:rFonts w:ascii="Arial" w:eastAsia="Times New Roman" w:hAnsi="Arial" w:cs="Arial"/>
            <w:color w:val="0B0080"/>
            <w:sz w:val="20"/>
            <w:szCs w:val="20"/>
            <w:u w:val="single"/>
            <w:lang w:eastAsia="de-DE"/>
          </w:rPr>
          <w:t>Hebels</w:t>
        </w:r>
      </w:hyperlink>
      <w:r w:rsidRPr="00460C3F">
        <w:rPr>
          <w:rFonts w:ascii="Arial" w:eastAsia="Times New Roman" w:hAnsi="Arial" w:cs="Arial"/>
          <w:color w:val="222222"/>
          <w:sz w:val="20"/>
          <w:szCs w:val="20"/>
          <w:lang w:eastAsia="de-DE"/>
        </w:rPr>
        <w:t> </w:t>
      </w:r>
      <w:hyperlink r:id="rId19" w:anchor="Alemannische_Gedichte" w:tgtFrame="_blank" w:tooltip="Johann Peter Hebel" w:history="1">
        <w:r w:rsidRPr="00460C3F">
          <w:rPr>
            <w:rFonts w:ascii="Arial" w:eastAsia="Times New Roman" w:hAnsi="Arial" w:cs="Arial"/>
            <w:color w:val="0B0080"/>
            <w:sz w:val="20"/>
            <w:szCs w:val="20"/>
            <w:u w:val="single"/>
            <w:lang w:eastAsia="de-DE"/>
          </w:rPr>
          <w:t>alemannische Gedichte</w:t>
        </w:r>
      </w:hyperlink>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Rat zu urdeutschen Taufnamen</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 xml:space="preserve">Dr. </w:t>
      </w:r>
      <w:proofErr w:type="spellStart"/>
      <w:r w:rsidRPr="00460C3F">
        <w:rPr>
          <w:rFonts w:ascii="Arial" w:eastAsia="Times New Roman" w:hAnsi="Arial" w:cs="Arial"/>
          <w:color w:val="222222"/>
          <w:sz w:val="20"/>
          <w:szCs w:val="20"/>
          <w:lang w:eastAsia="de-DE"/>
        </w:rPr>
        <w:t>Fenks</w:t>
      </w:r>
      <w:proofErr w:type="spellEnd"/>
      <w:r w:rsidRPr="00460C3F">
        <w:rPr>
          <w:rFonts w:ascii="Arial" w:eastAsia="Times New Roman" w:hAnsi="Arial" w:cs="Arial"/>
          <w:color w:val="222222"/>
          <w:sz w:val="20"/>
          <w:szCs w:val="20"/>
          <w:lang w:eastAsia="de-DE"/>
        </w:rPr>
        <w:t xml:space="preserve"> Leichenrede auf den höchstseligen Magen</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 xml:space="preserve">Über den Tod nach dem Tode; oder der </w:t>
      </w:r>
      <w:proofErr w:type="spellStart"/>
      <w:r w:rsidRPr="00460C3F">
        <w:rPr>
          <w:rFonts w:ascii="Arial" w:eastAsia="Times New Roman" w:hAnsi="Arial" w:cs="Arial"/>
          <w:color w:val="222222"/>
          <w:sz w:val="20"/>
          <w:szCs w:val="20"/>
          <w:lang w:eastAsia="de-DE"/>
        </w:rPr>
        <w:t>Geburttag</w:t>
      </w:r>
      <w:proofErr w:type="spellEnd"/>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Die Kunst, einzuschlafen</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Das Glück, auf dem linken Ohre taub zu sein</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Die Vernichtung</w:t>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Wünsche für </w:t>
      </w:r>
      <w:hyperlink r:id="rId20" w:tgtFrame="_blank" w:tooltip="Martin Luther" w:history="1">
        <w:r w:rsidRPr="00460C3F">
          <w:rPr>
            <w:rFonts w:ascii="Arial" w:eastAsia="Times New Roman" w:hAnsi="Arial" w:cs="Arial"/>
            <w:color w:val="0B0080"/>
            <w:sz w:val="20"/>
            <w:szCs w:val="20"/>
            <w:u w:val="single"/>
            <w:lang w:eastAsia="de-DE"/>
          </w:rPr>
          <w:t>Luthers</w:t>
        </w:r>
      </w:hyperlink>
      <w:r w:rsidRPr="00460C3F">
        <w:rPr>
          <w:rFonts w:ascii="Arial" w:eastAsia="Times New Roman" w:hAnsi="Arial" w:cs="Arial"/>
          <w:color w:val="222222"/>
          <w:sz w:val="20"/>
          <w:szCs w:val="20"/>
          <w:lang w:eastAsia="de-DE"/>
        </w:rPr>
        <w:t> Denkmal von </w:t>
      </w:r>
      <w:proofErr w:type="spellStart"/>
      <w:r w:rsidRPr="00460C3F">
        <w:rPr>
          <w:rFonts w:ascii="Arial" w:eastAsia="Times New Roman" w:hAnsi="Arial" w:cs="Arial"/>
          <w:color w:val="222222"/>
          <w:sz w:val="20"/>
          <w:szCs w:val="20"/>
          <w:lang w:eastAsia="de-DE"/>
        </w:rPr>
        <w:fldChar w:fldCharType="begin"/>
      </w:r>
      <w:r w:rsidRPr="00460C3F">
        <w:rPr>
          <w:rFonts w:ascii="Arial" w:eastAsia="Times New Roman" w:hAnsi="Arial" w:cs="Arial"/>
          <w:color w:val="222222"/>
          <w:sz w:val="20"/>
          <w:szCs w:val="20"/>
          <w:lang w:eastAsia="de-DE"/>
        </w:rPr>
        <w:instrText xml:space="preserve"> HYPERLINK "http://de.wikipedia.org/wiki/Marcus_Musurus" \o "Marcus Musurus" \t "_blank" </w:instrText>
      </w:r>
      <w:r w:rsidRPr="00460C3F">
        <w:rPr>
          <w:rFonts w:ascii="Arial" w:eastAsia="Times New Roman" w:hAnsi="Arial" w:cs="Arial"/>
          <w:color w:val="222222"/>
          <w:sz w:val="20"/>
          <w:szCs w:val="20"/>
          <w:lang w:eastAsia="de-DE"/>
        </w:rPr>
        <w:fldChar w:fldCharType="separate"/>
      </w:r>
      <w:r w:rsidRPr="00460C3F">
        <w:rPr>
          <w:rFonts w:ascii="Arial" w:eastAsia="Times New Roman" w:hAnsi="Arial" w:cs="Arial"/>
          <w:color w:val="0B0080"/>
          <w:sz w:val="20"/>
          <w:szCs w:val="20"/>
          <w:u w:val="single"/>
          <w:lang w:eastAsia="de-DE"/>
        </w:rPr>
        <w:t>Musurus</w:t>
      </w:r>
      <w:proofErr w:type="spellEnd"/>
      <w:r w:rsidRPr="00460C3F">
        <w:rPr>
          <w:rFonts w:ascii="Arial" w:eastAsia="Times New Roman" w:hAnsi="Arial" w:cs="Arial"/>
          <w:color w:val="222222"/>
          <w:sz w:val="20"/>
          <w:szCs w:val="20"/>
          <w:lang w:eastAsia="de-DE"/>
        </w:rPr>
        <w:fldChar w:fldCharType="end"/>
      </w:r>
    </w:p>
    <w:p w:rsidR="00460C3F" w:rsidRPr="00460C3F" w:rsidRDefault="00460C3F"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r w:rsidRPr="00460C3F">
        <w:rPr>
          <w:rFonts w:ascii="Arial" w:eastAsia="Times New Roman" w:hAnsi="Arial" w:cs="Arial"/>
          <w:color w:val="222222"/>
          <w:sz w:val="20"/>
          <w:szCs w:val="20"/>
          <w:lang w:eastAsia="de-DE"/>
        </w:rPr>
        <w:t>Über </w:t>
      </w:r>
      <w:hyperlink r:id="rId21" w:tgtFrame="_blank" w:tooltip="Charlotte Corday" w:history="1">
        <w:r w:rsidRPr="00460C3F">
          <w:rPr>
            <w:rFonts w:ascii="Arial" w:eastAsia="Times New Roman" w:hAnsi="Arial" w:cs="Arial"/>
            <w:color w:val="0B0080"/>
            <w:sz w:val="20"/>
            <w:szCs w:val="20"/>
            <w:u w:val="single"/>
            <w:lang w:eastAsia="de-DE"/>
          </w:rPr>
          <w:t>Charlotte Corday</w:t>
        </w:r>
      </w:hyperlink>
      <w:hyperlink r:id="rId22" w:anchor="cite_note-8" w:tgtFrame="_blank" w:history="1">
        <w:r w:rsidRPr="00460C3F">
          <w:rPr>
            <w:rFonts w:ascii="Arial" w:eastAsia="Times New Roman" w:hAnsi="Arial" w:cs="Arial"/>
            <w:color w:val="0B0080"/>
            <w:sz w:val="20"/>
            <w:szCs w:val="20"/>
            <w:u w:val="single"/>
            <w:vertAlign w:val="superscript"/>
            <w:lang w:eastAsia="de-DE"/>
          </w:rPr>
          <w:t>[7]</w:t>
        </w:r>
      </w:hyperlink>
    </w:p>
    <w:p w:rsidR="00460C3F" w:rsidRPr="00460C3F" w:rsidRDefault="009F51D9" w:rsidP="00460C3F">
      <w:pPr>
        <w:numPr>
          <w:ilvl w:val="0"/>
          <w:numId w:val="4"/>
        </w:numPr>
        <w:spacing w:before="100" w:beforeAutospacing="1" w:after="24" w:line="288" w:lineRule="atLeast"/>
        <w:ind w:left="3456"/>
        <w:rPr>
          <w:rFonts w:ascii="Arial" w:eastAsia="Times New Roman" w:hAnsi="Arial" w:cs="Arial"/>
          <w:color w:val="222222"/>
          <w:sz w:val="20"/>
          <w:szCs w:val="20"/>
          <w:lang w:eastAsia="de-DE"/>
        </w:rPr>
      </w:pPr>
      <w:hyperlink r:id="rId23" w:anchor="Polymeter" w:tgtFrame="_blank" w:tooltip="Flegeljahre (Jean Paul)" w:history="1">
        <w:r w:rsidR="00460C3F" w:rsidRPr="00460C3F">
          <w:rPr>
            <w:rFonts w:ascii="Arial" w:eastAsia="Times New Roman" w:hAnsi="Arial" w:cs="Arial"/>
            <w:color w:val="0B0080"/>
            <w:sz w:val="20"/>
            <w:szCs w:val="20"/>
            <w:u w:val="single"/>
            <w:lang w:eastAsia="de-DE"/>
          </w:rPr>
          <w:t>Polymeter</w:t>
        </w:r>
      </w:hyperlink>
      <w:r w:rsidR="00460C3F" w:rsidRPr="00460C3F">
        <w:rPr>
          <w:rFonts w:ascii="Arial" w:eastAsia="Times New Roman" w:hAnsi="Arial" w:cs="Arial"/>
          <w:color w:val="222222"/>
          <w:sz w:val="20"/>
          <w:szCs w:val="20"/>
          <w:lang w:eastAsia="de-DE"/>
        </w:rPr>
        <w:br/>
        <w:t>Jean Paul kannte </w:t>
      </w:r>
      <w:hyperlink r:id="rId24" w:tgtFrame="_blank" w:tooltip="Bad Liebenstein" w:history="1">
        <w:r w:rsidR="00460C3F" w:rsidRPr="00460C3F">
          <w:rPr>
            <w:rFonts w:ascii="Arial" w:eastAsia="Times New Roman" w:hAnsi="Arial" w:cs="Arial"/>
            <w:color w:val="0B0080"/>
            <w:sz w:val="20"/>
            <w:szCs w:val="20"/>
            <w:u w:val="single"/>
            <w:lang w:eastAsia="de-DE"/>
          </w:rPr>
          <w:t>Bad Liebenstein</w:t>
        </w:r>
      </w:hyperlink>
      <w:r w:rsidR="00460C3F" w:rsidRPr="00460C3F">
        <w:rPr>
          <w:rFonts w:ascii="Arial" w:eastAsia="Times New Roman" w:hAnsi="Arial" w:cs="Arial"/>
          <w:color w:val="222222"/>
          <w:sz w:val="20"/>
          <w:szCs w:val="20"/>
          <w:lang w:eastAsia="de-DE"/>
        </w:rPr>
        <w:t> und nahm es für Bad Maulbronn</w:t>
      </w:r>
      <w:hyperlink r:id="rId25" w:anchor="cite_note-18" w:tgtFrame="_blank" w:history="1">
        <w:r w:rsidR="00460C3F" w:rsidRPr="00460C3F">
          <w:rPr>
            <w:rFonts w:ascii="Arial" w:eastAsia="Times New Roman" w:hAnsi="Arial" w:cs="Arial"/>
            <w:color w:val="0B0080"/>
            <w:sz w:val="20"/>
            <w:szCs w:val="20"/>
            <w:u w:val="single"/>
            <w:vertAlign w:val="superscript"/>
            <w:lang w:eastAsia="de-DE"/>
          </w:rPr>
          <w:t>[17]</w:t>
        </w:r>
      </w:hyperlink>
      <w:r w:rsidR="00460C3F" w:rsidRPr="00460C3F">
        <w:rPr>
          <w:rFonts w:ascii="Arial" w:eastAsia="Times New Roman" w:hAnsi="Arial" w:cs="Arial"/>
          <w:color w:val="222222"/>
          <w:sz w:val="20"/>
          <w:szCs w:val="20"/>
          <w:lang w:eastAsia="de-DE"/>
        </w:rPr>
        <w:t>.</w:t>
      </w:r>
      <w:r w:rsidR="00460C3F" w:rsidRPr="00460C3F">
        <w:rPr>
          <w:rFonts w:ascii="Arial" w:eastAsia="Times New Roman" w:hAnsi="Arial" w:cs="Arial"/>
          <w:color w:val="222222"/>
          <w:sz w:val="20"/>
          <w:szCs w:val="20"/>
          <w:lang w:eastAsia="de-DE"/>
        </w:rPr>
        <w:br/>
      </w:r>
      <w:r w:rsidR="00460C3F" w:rsidRPr="00460C3F">
        <w:rPr>
          <w:rFonts w:ascii="Arial" w:eastAsia="Times New Roman" w:hAnsi="Arial" w:cs="Arial"/>
          <w:color w:val="222222"/>
          <w:sz w:val="20"/>
          <w:szCs w:val="20"/>
          <w:shd w:val="clear" w:color="auto" w:fill="DDEEFF"/>
          <w:lang w:eastAsia="de-DE"/>
        </w:rPr>
        <w:t>Höllerer in der Quelle (1359,30)</w:t>
      </w:r>
    </w:p>
    <w:p w:rsidR="00C97FB2" w:rsidRDefault="00C97FB2"/>
    <w:sectPr w:rsidR="00C97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631"/>
    <w:multiLevelType w:val="multilevel"/>
    <w:tmpl w:val="325E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F51EA"/>
    <w:multiLevelType w:val="multilevel"/>
    <w:tmpl w:val="817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EE310A"/>
    <w:multiLevelType w:val="multilevel"/>
    <w:tmpl w:val="21A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8A765D"/>
    <w:multiLevelType w:val="multilevel"/>
    <w:tmpl w:val="4CB4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3F"/>
    <w:rsid w:val="00460C3F"/>
    <w:rsid w:val="0085153A"/>
    <w:rsid w:val="009F51D9"/>
    <w:rsid w:val="00C9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5153A"/>
  </w:style>
  <w:style w:type="character" w:styleId="Hyperlink">
    <w:name w:val="Hyperlink"/>
    <w:basedOn w:val="Absatz-Standardschriftart"/>
    <w:uiPriority w:val="99"/>
    <w:semiHidden/>
    <w:unhideWhenUsed/>
    <w:rsid w:val="0085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5153A"/>
  </w:style>
  <w:style w:type="character" w:styleId="Hyperlink">
    <w:name w:val="Hyperlink"/>
    <w:basedOn w:val="Absatz-Standardschriftart"/>
    <w:uiPriority w:val="99"/>
    <w:semiHidden/>
    <w:unhideWhenUsed/>
    <w:rsid w:val="0085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6718">
      <w:bodyDiv w:val="1"/>
      <w:marLeft w:val="0"/>
      <w:marRight w:val="0"/>
      <w:marTop w:val="0"/>
      <w:marBottom w:val="0"/>
      <w:divBdr>
        <w:top w:val="none" w:sz="0" w:space="0" w:color="auto"/>
        <w:left w:val="none" w:sz="0" w:space="0" w:color="auto"/>
        <w:bottom w:val="none" w:sz="0" w:space="0" w:color="auto"/>
        <w:right w:val="none" w:sz="0" w:space="0" w:color="auto"/>
      </w:divBdr>
      <w:divsChild>
        <w:div w:id="71856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r._Katzenbergers_Badereise" TargetMode="External"/><Relationship Id="rId13" Type="http://schemas.openxmlformats.org/officeDocument/2006/relationships/hyperlink" Target="http://de.wikipedia.org/wiki/Dr._Katzenbergers_Badereise" TargetMode="External"/><Relationship Id="rId18" Type="http://schemas.openxmlformats.org/officeDocument/2006/relationships/hyperlink" Target="http://de.wikipedia.org/wiki/Johann_Peter_Hebe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e.wikipedia.org/wiki/Charlotte_Corday" TargetMode="External"/><Relationship Id="rId7" Type="http://schemas.openxmlformats.org/officeDocument/2006/relationships/hyperlink" Target="http://de.wikipedia.org/wiki/Jean_Paul" TargetMode="External"/><Relationship Id="rId12" Type="http://schemas.openxmlformats.org/officeDocument/2006/relationships/hyperlink" Target="http://de.wikipedia.org/wiki/Dr._Katzenbergers_Badereise" TargetMode="External"/><Relationship Id="rId17" Type="http://schemas.openxmlformats.org/officeDocument/2006/relationships/hyperlink" Target="http://de.wikipedia.org/w/index.php?title=Dr._Katzenbergers_Badereise&amp;action=edit&amp;section=3" TargetMode="External"/><Relationship Id="rId25" Type="http://schemas.openxmlformats.org/officeDocument/2006/relationships/hyperlink" Target="http://de.wikipedia.org/wiki/Dr._Katzenbergers_Badereise" TargetMode="External"/><Relationship Id="rId2" Type="http://schemas.openxmlformats.org/officeDocument/2006/relationships/styles" Target="styles.xml"/><Relationship Id="rId16" Type="http://schemas.openxmlformats.org/officeDocument/2006/relationships/hyperlink" Target="http://de.wikipedia.org/wiki/Dr._Katzenbergers_Badereise" TargetMode="External"/><Relationship Id="rId20" Type="http://schemas.openxmlformats.org/officeDocument/2006/relationships/hyperlink" Target="http://de.wikipedia.org/wiki/Martin_Luther" TargetMode="External"/><Relationship Id="rId1" Type="http://schemas.openxmlformats.org/officeDocument/2006/relationships/numbering" Target="numbering.xml"/><Relationship Id="rId6" Type="http://schemas.openxmlformats.org/officeDocument/2006/relationships/hyperlink" Target="http://de.wikipedia.org/wiki/Dr._Katzenbergers_Badereise" TargetMode="External"/><Relationship Id="rId11" Type="http://schemas.openxmlformats.org/officeDocument/2006/relationships/hyperlink" Target="http://de.wikipedia.org/wiki/Dr._Katzenbergers_Badereise" TargetMode="External"/><Relationship Id="rId24" Type="http://schemas.openxmlformats.org/officeDocument/2006/relationships/hyperlink" Target="http://de.wikipedia.org/wiki/Bad_Liebenstein" TargetMode="External"/><Relationship Id="rId5" Type="http://schemas.openxmlformats.org/officeDocument/2006/relationships/webSettings" Target="webSettings.xml"/><Relationship Id="rId15" Type="http://schemas.openxmlformats.org/officeDocument/2006/relationships/hyperlink" Target="http://de.wikipedia.org/w/index.php?title=Dr._Katzenbergers_Badereise&amp;action=edit&amp;section=2" TargetMode="External"/><Relationship Id="rId23" Type="http://schemas.openxmlformats.org/officeDocument/2006/relationships/hyperlink" Target="http://de.wikipedia.org/wiki/Flegeljahre_(Jean_Paul)" TargetMode="External"/><Relationship Id="rId10" Type="http://schemas.openxmlformats.org/officeDocument/2006/relationships/hyperlink" Target="http://de.wikipedia.org/wiki/Bad_Liebenstein" TargetMode="External"/><Relationship Id="rId19" Type="http://schemas.openxmlformats.org/officeDocument/2006/relationships/hyperlink" Target="http://de.wikipedia.org/wiki/Johann_Peter_Hebel" TargetMode="External"/><Relationship Id="rId4" Type="http://schemas.openxmlformats.org/officeDocument/2006/relationships/settings" Target="settings.xml"/><Relationship Id="rId9" Type="http://schemas.openxmlformats.org/officeDocument/2006/relationships/hyperlink" Target="http://de.wikipedia.org/wiki/Mohr_Siebeck_Verlag" TargetMode="External"/><Relationship Id="rId14" Type="http://schemas.openxmlformats.org/officeDocument/2006/relationships/hyperlink" Target="http://de.wikipedia.org/wiki/Weberknechte" TargetMode="External"/><Relationship Id="rId22" Type="http://schemas.openxmlformats.org/officeDocument/2006/relationships/hyperlink" Target="http://de.wikipedia.org/wiki/Dr._Katzenbergers_Badereis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8140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2013-03-21T21:57:00Z</dcterms:created>
  <dcterms:modified xsi:type="dcterms:W3CDTF">2013-03-21T21:57:00Z</dcterms:modified>
</cp:coreProperties>
</file>